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A8" w:rsidRDefault="004129DC" w:rsidP="006C5B0D">
      <w:pPr>
        <w:pStyle w:val="TitlePageSubTitle"/>
        <w:rPr>
          <w:b/>
          <w:color w:val="auto"/>
          <w:sz w:val="24"/>
          <w:szCs w:val="24"/>
        </w:rPr>
      </w:pPr>
      <w:r w:rsidRPr="006C5B0D">
        <w:rPr>
          <w:b/>
          <w:color w:val="FF0000"/>
        </w:rPr>
        <w:t>DRAFT</w:t>
      </w:r>
      <w:r>
        <w:rPr>
          <w:b/>
          <w:color w:val="FF0000"/>
        </w:rPr>
        <w:t xml:space="preserve"> </w:t>
      </w:r>
      <w:r w:rsidR="00281AA9">
        <w:rPr>
          <w:b/>
          <w:color w:val="FF0000"/>
        </w:rPr>
        <w:tab/>
      </w:r>
      <w:r w:rsidR="00281AA9">
        <w:rPr>
          <w:b/>
          <w:color w:val="FF0000"/>
        </w:rPr>
        <w:tab/>
      </w:r>
      <w:r w:rsidR="00281AA9">
        <w:rPr>
          <w:b/>
          <w:color w:val="FF0000"/>
        </w:rPr>
        <w:tab/>
      </w:r>
      <w:r w:rsidR="00281AA9">
        <w:rPr>
          <w:b/>
          <w:color w:val="FF0000"/>
        </w:rPr>
        <w:tab/>
      </w:r>
      <w:r w:rsidR="00281AA9">
        <w:rPr>
          <w:b/>
          <w:color w:val="FF0000"/>
        </w:rPr>
        <w:tab/>
      </w:r>
      <w:r w:rsidR="00281AA9">
        <w:rPr>
          <w:b/>
          <w:color w:val="FF0000"/>
        </w:rPr>
        <w:tab/>
      </w:r>
      <w:r w:rsidR="00281AA9">
        <w:rPr>
          <w:b/>
          <w:color w:val="FF0000"/>
        </w:rPr>
        <w:tab/>
      </w:r>
      <w:r w:rsidR="00281AA9">
        <w:rPr>
          <w:b/>
          <w:color w:val="FF0000"/>
        </w:rPr>
        <w:tab/>
      </w:r>
      <w:r w:rsidR="00281AA9" w:rsidRPr="00281AA9">
        <w:rPr>
          <w:b/>
          <w:color w:val="auto"/>
          <w:sz w:val="24"/>
          <w:szCs w:val="24"/>
        </w:rPr>
        <w:t>Appendix A</w:t>
      </w:r>
    </w:p>
    <w:p w:rsidR="00281AA9" w:rsidRPr="00281AA9" w:rsidRDefault="00281AA9" w:rsidP="006C5B0D">
      <w:pPr>
        <w:pStyle w:val="TitlePageSubTitle"/>
        <w:rPr>
          <w:b/>
          <w:color w:val="auto"/>
          <w:sz w:val="24"/>
          <w:szCs w:val="24"/>
        </w:rPr>
      </w:pPr>
    </w:p>
    <w:p w:rsidR="00224285" w:rsidRPr="00224285" w:rsidRDefault="004129DC" w:rsidP="00224285">
      <w:pPr>
        <w:pStyle w:val="AppendixSubtitle"/>
        <w:rPr>
          <w:b/>
          <w:color w:val="002C77" w:themeColor="text1"/>
          <w:sz w:val="52"/>
          <w:szCs w:val="52"/>
          <w:lang w:val="en-GB"/>
        </w:rPr>
      </w:pPr>
      <w:r w:rsidRPr="00224285">
        <w:rPr>
          <w:b/>
          <w:color w:val="002C77" w:themeColor="text1"/>
          <w:sz w:val="52"/>
          <w:szCs w:val="52"/>
          <w:lang w:val="en-GB"/>
        </w:rPr>
        <w:t>Admission and termination policy</w:t>
      </w:r>
    </w:p>
    <w:p w:rsidR="003A1F16" w:rsidRPr="00AE7ACE" w:rsidRDefault="004129DC" w:rsidP="00D22540">
      <w:pPr>
        <w:pStyle w:val="TitlePageSubTitle"/>
      </w:pPr>
      <w:r>
        <w:t>LANCASHIRE COUNTY PENSION FUND</w:t>
      </w:r>
    </w:p>
    <w:p w:rsidR="003A1F16" w:rsidRDefault="004129DC" w:rsidP="003A1F16">
      <w:pPr>
        <w:pStyle w:val="TitlePageDate"/>
      </w:pPr>
      <w:r>
        <w:t>SEPTEMBER 2017</w:t>
      </w:r>
    </w:p>
    <w:p w:rsidR="003A1F16" w:rsidRDefault="004129DC" w:rsidP="003A1F16">
      <w:pPr>
        <w:pStyle w:val="ProposalSubtitle"/>
        <w:rPr>
          <w:rFonts w:ascii="Arial Bold" w:hAnsi="Arial Bold"/>
          <w:b/>
          <w:caps/>
        </w:rPr>
      </w:pPr>
      <w:r>
        <w:rPr>
          <w:rFonts w:ascii="Arial Bold" w:hAnsi="Arial Bold"/>
          <w:b/>
        </w:rPr>
        <w:t>Lancashire County Council</w:t>
      </w:r>
    </w:p>
    <w:p w:rsidR="006B2747" w:rsidRDefault="009B1438" w:rsidP="00FA57E7">
      <w:pPr>
        <w:pStyle w:val="DocumentText"/>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4129DC" w:rsidP="006B2747">
      <w:pPr>
        <w:pStyle w:val="Legaltext0"/>
        <w:rPr>
          <w:rFonts w:ascii="Arial Bold" w:hAnsi="Arial Bold"/>
          <w:b/>
          <w:caps/>
        </w:rPr>
      </w:pPr>
      <w:r>
        <w:rPr>
          <w:rFonts w:ascii="Arial Bold" w:hAnsi="Arial Bold"/>
          <w:b/>
          <w:caps/>
        </w:rPr>
        <w:fldChar w:fldCharType="begin"/>
      </w:r>
      <w:r>
        <w:rPr>
          <w:rFonts w:ascii="Arial Bold" w:hAnsi="Arial Bold"/>
          <w:b/>
          <w:caps/>
        </w:rPr>
        <w:instrText xml:space="preserve">  </w:instrText>
      </w:r>
      <w:r>
        <w:rPr>
          <w:rFonts w:ascii="Arial Bold" w:hAnsi="Arial Bold"/>
          <w:b/>
          <w:caps/>
        </w:rPr>
        <w:fldChar w:fldCharType="end"/>
      </w: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6B2747" w:rsidRDefault="009B1438" w:rsidP="006B2747">
      <w:pPr>
        <w:pStyle w:val="Legaltext0"/>
        <w:rPr>
          <w:rFonts w:ascii="Arial Bold" w:hAnsi="Arial Bold"/>
          <w:b/>
          <w:caps/>
        </w:rPr>
      </w:pPr>
    </w:p>
    <w:p w:rsidR="00D37FAC" w:rsidRDefault="009B1438" w:rsidP="006B2747">
      <w:pPr>
        <w:pStyle w:val="Legaltext0"/>
        <w:rPr>
          <w:b/>
          <w:sz w:val="2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37FAC" w:rsidRDefault="009B1438" w:rsidP="006B2747">
      <w:pPr>
        <w:pStyle w:val="Legaltext0"/>
        <w:rPr>
          <w:b/>
          <w:sz w:val="2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24285" w:rsidRDefault="009B1438" w:rsidP="008A55C7">
      <w:pPr>
        <w:pStyle w:val="AppendixSubtitle"/>
        <w:rPr>
          <w:lang w:val="en-GB"/>
        </w:rPr>
      </w:pPr>
    </w:p>
    <w:p w:rsidR="00224285" w:rsidRDefault="009B1438" w:rsidP="00DD59EF">
      <w:pPr>
        <w:pStyle w:val="Heading10"/>
      </w:pPr>
    </w:p>
    <w:p w:rsidR="006F3777" w:rsidRDefault="004129DC">
      <w:pPr>
        <w:spacing w:after="0" w:line="240" w:lineRule="auto"/>
        <w:rPr>
          <w:caps/>
          <w:color w:val="002C77"/>
          <w:spacing w:val="30"/>
          <w:szCs w:val="26"/>
        </w:rPr>
      </w:pPr>
      <w:r>
        <w:lastRenderedPageBreak/>
        <w:br w:type="page"/>
      </w:r>
    </w:p>
    <w:p w:rsidR="007C5733" w:rsidRPr="006F3777" w:rsidRDefault="004129DC" w:rsidP="00DD59EF">
      <w:pPr>
        <w:pStyle w:val="Heading10"/>
        <w:rPr>
          <w:b/>
        </w:rPr>
      </w:pPr>
      <w:r>
        <w:rPr>
          <w:b/>
        </w:rPr>
        <w:lastRenderedPageBreak/>
        <w:t xml:space="preserve">A - </w:t>
      </w:r>
      <w:r w:rsidRPr="006F3777">
        <w:rPr>
          <w:b/>
        </w:rPr>
        <w:t>Introduction</w:t>
      </w:r>
    </w:p>
    <w:p w:rsidR="007C5733" w:rsidRDefault="009B1438" w:rsidP="007C5733">
      <w:pPr>
        <w:spacing w:after="0" w:line="240" w:lineRule="auto"/>
        <w:jc w:val="both"/>
        <w:rPr>
          <w:rFonts w:cs="Arial"/>
          <w:color w:val="auto"/>
        </w:rPr>
      </w:pPr>
    </w:p>
    <w:p w:rsidR="007D30E1" w:rsidRPr="007D30E1" w:rsidRDefault="004129DC" w:rsidP="007D30E1">
      <w:pPr>
        <w:spacing w:after="0" w:line="240" w:lineRule="auto"/>
        <w:jc w:val="both"/>
        <w:rPr>
          <w:szCs w:val="22"/>
        </w:rPr>
      </w:pPr>
      <w:r w:rsidRPr="007D30E1">
        <w:rPr>
          <w:szCs w:val="22"/>
        </w:rPr>
        <w:t xml:space="preserve">This document details the Lancashire County Pension Fund’s (LCPF) policy on admissions into the Fund, the methodology for assessment of a termination payment on the cessation of an employer’s participation in the LCPF, and considerations for current admission bodies. It supplements the general policy of the Fund as set out in the Funding Strategy Statement (FSS). </w:t>
      </w:r>
    </w:p>
    <w:p w:rsidR="007D30E1" w:rsidRDefault="009B1438" w:rsidP="007D30E1">
      <w:pPr>
        <w:spacing w:after="0" w:line="240" w:lineRule="auto"/>
        <w:jc w:val="both"/>
        <w:rPr>
          <w:szCs w:val="22"/>
        </w:rPr>
      </w:pPr>
    </w:p>
    <w:p w:rsidR="007D30E1" w:rsidRPr="007D30E1" w:rsidRDefault="004129DC" w:rsidP="007D30E1">
      <w:pPr>
        <w:pStyle w:val="Heading10"/>
      </w:pPr>
      <w:r w:rsidRPr="007D30E1">
        <w:t xml:space="preserve">Policy Objectives </w:t>
      </w:r>
    </w:p>
    <w:p w:rsidR="007D30E1" w:rsidRPr="007D30E1" w:rsidRDefault="009B1438" w:rsidP="007D30E1">
      <w:pPr>
        <w:pStyle w:val="Heading10"/>
      </w:pPr>
    </w:p>
    <w:p w:rsidR="007D30E1" w:rsidRPr="007D30E1" w:rsidRDefault="004129DC" w:rsidP="007D30E1">
      <w:pPr>
        <w:pStyle w:val="Heading10"/>
      </w:pPr>
      <w:r w:rsidRPr="007D30E1">
        <w:t xml:space="preserve">Risk Mitigation </w:t>
      </w:r>
    </w:p>
    <w:p w:rsidR="007D30E1" w:rsidRDefault="009B1438" w:rsidP="007D30E1">
      <w:pPr>
        <w:spacing w:after="0" w:line="240" w:lineRule="auto"/>
        <w:jc w:val="both"/>
        <w:rPr>
          <w:szCs w:val="22"/>
        </w:rPr>
      </w:pPr>
    </w:p>
    <w:p w:rsidR="007D30E1" w:rsidRPr="007D30E1" w:rsidRDefault="004129DC" w:rsidP="007D30E1">
      <w:pPr>
        <w:spacing w:after="0" w:line="240" w:lineRule="auto"/>
        <w:jc w:val="both"/>
        <w:rPr>
          <w:szCs w:val="22"/>
        </w:rPr>
      </w:pPr>
      <w:r w:rsidRPr="007D30E1">
        <w:rPr>
          <w:szCs w:val="22"/>
        </w:rPr>
        <w:t xml:space="preserve">The Fund, in managing the admissions and exit process, aims to mitigate risk as far as possible, within its risk management framework. The admissions and exit process reflects this framework. </w:t>
      </w:r>
    </w:p>
    <w:p w:rsidR="007D30E1" w:rsidRDefault="009B1438" w:rsidP="007D30E1">
      <w:pPr>
        <w:spacing w:after="0" w:line="240" w:lineRule="auto"/>
        <w:jc w:val="both"/>
        <w:rPr>
          <w:szCs w:val="22"/>
        </w:rPr>
      </w:pPr>
    </w:p>
    <w:p w:rsidR="007D30E1" w:rsidRPr="007D30E1" w:rsidRDefault="004129DC" w:rsidP="007D30E1">
      <w:pPr>
        <w:pStyle w:val="Heading10"/>
      </w:pPr>
      <w:r w:rsidRPr="007D30E1">
        <w:t xml:space="preserve">Efficient Processes </w:t>
      </w:r>
    </w:p>
    <w:p w:rsidR="007D30E1" w:rsidRPr="007D30E1" w:rsidRDefault="009B1438" w:rsidP="007D30E1">
      <w:pPr>
        <w:spacing w:after="0" w:line="240" w:lineRule="auto"/>
        <w:jc w:val="both"/>
        <w:rPr>
          <w:szCs w:val="22"/>
        </w:rPr>
      </w:pPr>
    </w:p>
    <w:p w:rsidR="007D30E1" w:rsidRPr="007D30E1" w:rsidRDefault="004129DC" w:rsidP="007D30E1">
      <w:pPr>
        <w:spacing w:after="0" w:line="240" w:lineRule="auto"/>
        <w:jc w:val="both"/>
        <w:rPr>
          <w:szCs w:val="22"/>
        </w:rPr>
      </w:pPr>
      <w:r w:rsidRPr="007D30E1">
        <w:rPr>
          <w:szCs w:val="22"/>
        </w:rPr>
        <w:t xml:space="preserve">The Fund, in managing the admissions and exit process, aims to operate procedures which minimise both cost and time taken to complete the necessary formal processes. </w:t>
      </w:r>
    </w:p>
    <w:p w:rsidR="007D30E1" w:rsidRDefault="009B1438" w:rsidP="007D30E1">
      <w:pPr>
        <w:spacing w:after="0" w:line="240" w:lineRule="auto"/>
        <w:jc w:val="both"/>
        <w:rPr>
          <w:szCs w:val="22"/>
        </w:rPr>
      </w:pPr>
    </w:p>
    <w:p w:rsidR="007D30E1" w:rsidRPr="007D30E1" w:rsidRDefault="004129DC" w:rsidP="007D30E1">
      <w:pPr>
        <w:pStyle w:val="Heading10"/>
      </w:pPr>
      <w:r w:rsidRPr="007D30E1">
        <w:t xml:space="preserve">Costs of Managing Admissions and Terminations </w:t>
      </w:r>
    </w:p>
    <w:p w:rsidR="007D30E1" w:rsidRDefault="009B1438" w:rsidP="007D30E1">
      <w:pPr>
        <w:spacing w:after="0" w:line="240" w:lineRule="auto"/>
        <w:jc w:val="both"/>
        <w:rPr>
          <w:szCs w:val="22"/>
        </w:rPr>
      </w:pPr>
    </w:p>
    <w:p w:rsidR="007D30E1" w:rsidRDefault="004129DC" w:rsidP="007D30E1">
      <w:pPr>
        <w:spacing w:after="0" w:line="240" w:lineRule="auto"/>
        <w:jc w:val="both"/>
        <w:rPr>
          <w:szCs w:val="22"/>
        </w:rPr>
      </w:pPr>
      <w:r w:rsidRPr="007D30E1">
        <w:rPr>
          <w:szCs w:val="22"/>
        </w:rPr>
        <w:t xml:space="preserve">The Fund will pass on relevant actuarial costs to new employers but at the same time operate a model which seeks to minimise these costs. The Fund will also recover its own costs from employers and apply a charging framework which encourages early engagement between involved parties and reflects the additional costs involved when admission requests are not made in good time. </w:t>
      </w:r>
    </w:p>
    <w:p w:rsidR="007D30E1" w:rsidRPr="007D30E1" w:rsidRDefault="009B1438" w:rsidP="007D30E1">
      <w:pPr>
        <w:spacing w:after="0" w:line="240" w:lineRule="auto"/>
        <w:jc w:val="both"/>
        <w:rPr>
          <w:szCs w:val="22"/>
        </w:rPr>
      </w:pPr>
    </w:p>
    <w:p w:rsidR="007D30E1" w:rsidRPr="007D30E1" w:rsidRDefault="004129DC" w:rsidP="007D30E1">
      <w:pPr>
        <w:spacing w:after="0" w:line="240" w:lineRule="auto"/>
        <w:jc w:val="both"/>
        <w:rPr>
          <w:szCs w:val="22"/>
        </w:rPr>
      </w:pPr>
      <w:r w:rsidRPr="007D30E1">
        <w:rPr>
          <w:szCs w:val="22"/>
        </w:rPr>
        <w:t xml:space="preserve">It is essential that the Fund be given adequate notice of employers' plans around contracting-out exercises and other structural or organisational changes which will result in a new application for admitted body status; to this end the Fund's charging framework reflects the extra costs associated with 'late' admissions. </w:t>
      </w:r>
    </w:p>
    <w:p w:rsidR="007D30E1" w:rsidRDefault="009B1438" w:rsidP="007D30E1">
      <w:pPr>
        <w:spacing w:after="0" w:line="240" w:lineRule="auto"/>
        <w:jc w:val="both"/>
        <w:rPr>
          <w:szCs w:val="22"/>
        </w:rPr>
      </w:pPr>
    </w:p>
    <w:p w:rsidR="007D30E1" w:rsidRPr="007D30E1" w:rsidRDefault="004129DC" w:rsidP="007D30E1">
      <w:pPr>
        <w:spacing w:after="0" w:line="240" w:lineRule="auto"/>
        <w:jc w:val="both"/>
        <w:rPr>
          <w:caps/>
          <w:color w:val="002C77"/>
          <w:spacing w:val="30"/>
          <w:szCs w:val="26"/>
        </w:rPr>
      </w:pPr>
      <w:r w:rsidRPr="007D30E1">
        <w:rPr>
          <w:caps/>
          <w:color w:val="002C77"/>
          <w:spacing w:val="30"/>
          <w:szCs w:val="26"/>
        </w:rPr>
        <w:t xml:space="preserve">LCPF 'Default' Position </w:t>
      </w:r>
    </w:p>
    <w:p w:rsidR="007D30E1" w:rsidRDefault="009B1438" w:rsidP="007D30E1">
      <w:pPr>
        <w:spacing w:after="0" w:line="240" w:lineRule="auto"/>
        <w:jc w:val="both"/>
        <w:rPr>
          <w:szCs w:val="22"/>
        </w:rPr>
      </w:pPr>
    </w:p>
    <w:p w:rsidR="007D30E1" w:rsidRPr="007D30E1" w:rsidRDefault="004129DC" w:rsidP="007D30E1">
      <w:pPr>
        <w:spacing w:after="0" w:line="240" w:lineRule="auto"/>
        <w:jc w:val="both"/>
        <w:rPr>
          <w:szCs w:val="22"/>
        </w:rPr>
      </w:pPr>
      <w:r w:rsidRPr="007D30E1">
        <w:rPr>
          <w:szCs w:val="22"/>
        </w:rPr>
        <w:t xml:space="preserve">This policy has been subject to consultation with employers in 2015: where the term 'default position' is used within this policy it is assumed that any existing or aspirant employer has made itself aware of, and accepts, existing policy and practice, unless specifically stating otherwise. In practical terms this means where there is a requirement (on the Fund) to consult with employers around aspects of the admissions/entry process, the Fund will assume employers accept its default position unless the employer expressly states otherwise. Should an employer wish to deviate from the Fund's default position then the Fund's charging framework will reflect the additional cost of doing so. </w:t>
      </w:r>
    </w:p>
    <w:p w:rsidR="007D30E1" w:rsidRPr="007D30E1" w:rsidRDefault="009B1438" w:rsidP="007D30E1">
      <w:pPr>
        <w:spacing w:after="0" w:line="240" w:lineRule="auto"/>
        <w:jc w:val="both"/>
        <w:rPr>
          <w:szCs w:val="22"/>
        </w:rPr>
      </w:pPr>
    </w:p>
    <w:p w:rsidR="007D30E1" w:rsidRPr="007D30E1" w:rsidRDefault="004129DC" w:rsidP="007D30E1">
      <w:pPr>
        <w:spacing w:after="0" w:line="240" w:lineRule="auto"/>
        <w:jc w:val="both"/>
        <w:rPr>
          <w:szCs w:val="22"/>
        </w:rPr>
      </w:pPr>
      <w:r w:rsidRPr="007D30E1">
        <w:rPr>
          <w:szCs w:val="22"/>
        </w:rPr>
        <w:t>The Fund has discretion over many employers it chooses to admit, and whilst it wishes to see members who transfer to another employer, as a result of an arrangement to carry out work on behalf of a scheme employer by means of a contract or other arrangement, to retain the benefits of ongoing LGPS membership, it may not accept applications from employers which have not previously adhered to the Fund's Pensions Administration Strategy Statement.</w:t>
      </w:r>
    </w:p>
    <w:p w:rsidR="007D30E1" w:rsidRDefault="009B1438" w:rsidP="007C5733">
      <w:pPr>
        <w:spacing w:after="0" w:line="240" w:lineRule="auto"/>
        <w:jc w:val="both"/>
        <w:rPr>
          <w:rFonts w:cs="Arial"/>
          <w:color w:val="auto"/>
        </w:rPr>
      </w:pPr>
    </w:p>
    <w:p w:rsidR="00E71900" w:rsidRDefault="004129DC" w:rsidP="00E71900">
      <w:pPr>
        <w:spacing w:after="0" w:line="240" w:lineRule="auto"/>
        <w:jc w:val="both"/>
        <w:rPr>
          <w:szCs w:val="22"/>
        </w:rPr>
      </w:pPr>
      <w:r w:rsidRPr="007D30E1">
        <w:rPr>
          <w:i/>
          <w:szCs w:val="22"/>
        </w:rPr>
        <w:t>Please see the glossary for an explanation of the terms used throughout this document</w:t>
      </w:r>
      <w:r w:rsidRPr="0080366A">
        <w:rPr>
          <w:szCs w:val="22"/>
        </w:rPr>
        <w:t>.</w:t>
      </w:r>
    </w:p>
    <w:p w:rsidR="00E71900" w:rsidRDefault="004129DC">
      <w:pPr>
        <w:spacing w:after="0" w:line="240" w:lineRule="auto"/>
        <w:rPr>
          <w:szCs w:val="22"/>
        </w:rPr>
      </w:pPr>
      <w:r>
        <w:rPr>
          <w:szCs w:val="22"/>
        </w:rPr>
        <w:br w:type="page"/>
      </w:r>
    </w:p>
    <w:p w:rsidR="007C5733" w:rsidRPr="006F3777" w:rsidRDefault="004129DC" w:rsidP="00DD59EF">
      <w:pPr>
        <w:pStyle w:val="Heading10"/>
        <w:rPr>
          <w:b/>
        </w:rPr>
      </w:pPr>
      <w:r>
        <w:rPr>
          <w:b/>
        </w:rPr>
        <w:lastRenderedPageBreak/>
        <w:t xml:space="preserve">B - </w:t>
      </w:r>
      <w:r w:rsidRPr="006F3777">
        <w:rPr>
          <w:b/>
        </w:rPr>
        <w:t>entry to the fund</w:t>
      </w:r>
    </w:p>
    <w:p w:rsidR="007C5733" w:rsidRDefault="009B1438" w:rsidP="007C5733">
      <w:pPr>
        <w:pStyle w:val="Heading10"/>
        <w:rPr>
          <w:b/>
          <w:color w:val="993366"/>
          <w:sz w:val="24"/>
        </w:rPr>
      </w:pPr>
    </w:p>
    <w:p w:rsidR="007D30E1" w:rsidRPr="007D30E1" w:rsidRDefault="004129DC" w:rsidP="007D30E1">
      <w:pPr>
        <w:pStyle w:val="ListParagraph"/>
        <w:numPr>
          <w:ilvl w:val="0"/>
          <w:numId w:val="40"/>
        </w:numPr>
        <w:spacing w:after="0" w:line="240" w:lineRule="auto"/>
        <w:jc w:val="both"/>
        <w:rPr>
          <w:caps/>
          <w:color w:val="002C77"/>
          <w:spacing w:val="30"/>
          <w:szCs w:val="26"/>
        </w:rPr>
      </w:pPr>
      <w:r w:rsidRPr="007D30E1">
        <w:rPr>
          <w:caps/>
          <w:color w:val="002C77"/>
          <w:spacing w:val="30"/>
          <w:szCs w:val="26"/>
        </w:rPr>
        <w:t xml:space="preserve">Background </w:t>
      </w:r>
    </w:p>
    <w:p w:rsidR="007D30E1" w:rsidRPr="007D30E1" w:rsidRDefault="009B1438" w:rsidP="007D30E1">
      <w:pPr>
        <w:pStyle w:val="ListParagraph"/>
        <w:spacing w:after="0" w:line="240" w:lineRule="auto"/>
        <w:jc w:val="both"/>
        <w:rPr>
          <w:caps/>
          <w:color w:val="002C77"/>
          <w:spacing w:val="30"/>
          <w:szCs w:val="26"/>
        </w:rPr>
      </w:pPr>
    </w:p>
    <w:p w:rsidR="007D30E1" w:rsidRDefault="004129DC" w:rsidP="007D30E1">
      <w:pPr>
        <w:autoSpaceDE w:val="0"/>
        <w:autoSpaceDN w:val="0"/>
        <w:adjustRightInd w:val="0"/>
        <w:spacing w:after="0" w:line="240" w:lineRule="auto"/>
        <w:rPr>
          <w:szCs w:val="22"/>
        </w:rPr>
      </w:pPr>
      <w:r w:rsidRPr="007D30E1">
        <w:rPr>
          <w:szCs w:val="22"/>
        </w:rPr>
        <w:t xml:space="preserve">Admission bodies are a specific type of employer under the Regulations that govern the Local Government Pension Scheme (LGPS) (the “Regulations”). Unlike other employers, such as county councils, district councils, academies and further and higher education corporations, who are named within the Regulations as bodies having an automatic right to participation in the LGPS, admission bodies do not automatically qualify for admission and must instead satisfy certain criteria as set out in the Regulations. They also need a written admission agreement to be admitted and participate in the LGPS. </w:t>
      </w:r>
    </w:p>
    <w:p w:rsidR="007D30E1" w:rsidRPr="007D30E1" w:rsidRDefault="009B1438" w:rsidP="007D30E1">
      <w:pPr>
        <w:autoSpaceDE w:val="0"/>
        <w:autoSpaceDN w:val="0"/>
        <w:adjustRightInd w:val="0"/>
        <w:spacing w:after="0" w:line="240" w:lineRule="auto"/>
        <w:rPr>
          <w:szCs w:val="22"/>
        </w:rPr>
      </w:pPr>
    </w:p>
    <w:p w:rsidR="007D30E1" w:rsidRPr="007D30E1" w:rsidRDefault="004129DC" w:rsidP="007D30E1">
      <w:pPr>
        <w:autoSpaceDE w:val="0"/>
        <w:autoSpaceDN w:val="0"/>
        <w:adjustRightInd w:val="0"/>
        <w:spacing w:after="0" w:line="240" w:lineRule="auto"/>
        <w:rPr>
          <w:szCs w:val="22"/>
        </w:rPr>
      </w:pPr>
      <w:r w:rsidRPr="007D30E1">
        <w:rPr>
          <w:szCs w:val="22"/>
        </w:rPr>
        <w:t xml:space="preserve">The Council as administering authority may make an admission agreement with any admission body that satisfies the criteria under the Regulations. An admission agreement will enable all (or any specified class) of the admission body's employees to be members of the LGPS and participate in the LGPS. </w:t>
      </w:r>
    </w:p>
    <w:p w:rsidR="007D30E1" w:rsidRDefault="009B1438" w:rsidP="007D30E1">
      <w:pPr>
        <w:autoSpaceDE w:val="0"/>
        <w:autoSpaceDN w:val="0"/>
        <w:adjustRightInd w:val="0"/>
        <w:spacing w:after="0" w:line="240" w:lineRule="auto"/>
        <w:rPr>
          <w:szCs w:val="22"/>
        </w:rPr>
      </w:pPr>
    </w:p>
    <w:p w:rsidR="007D30E1" w:rsidRPr="007D30E1" w:rsidRDefault="004129DC" w:rsidP="007D30E1">
      <w:pPr>
        <w:autoSpaceDE w:val="0"/>
        <w:autoSpaceDN w:val="0"/>
        <w:adjustRightInd w:val="0"/>
        <w:spacing w:after="0" w:line="240" w:lineRule="auto"/>
        <w:rPr>
          <w:szCs w:val="22"/>
        </w:rPr>
      </w:pPr>
      <w:r w:rsidRPr="007D30E1">
        <w:rPr>
          <w:szCs w:val="22"/>
        </w:rPr>
        <w:t xml:space="preserve">Any application for admitted body status MUST be submitted to the Council, as administering authority, in good time to enable actuarial information to be obtained and the legalities associated with admission to be dealt with. Applications should be submitted at least three months before the proposed transfer or admission date. </w:t>
      </w:r>
    </w:p>
    <w:p w:rsidR="007D30E1" w:rsidRDefault="009B1438" w:rsidP="007D30E1">
      <w:pPr>
        <w:autoSpaceDE w:val="0"/>
        <w:autoSpaceDN w:val="0"/>
        <w:adjustRightInd w:val="0"/>
        <w:spacing w:after="0" w:line="240" w:lineRule="auto"/>
        <w:rPr>
          <w:szCs w:val="22"/>
        </w:rPr>
      </w:pPr>
    </w:p>
    <w:p w:rsidR="007D30E1" w:rsidRPr="007D30E1" w:rsidRDefault="004129DC" w:rsidP="007D30E1">
      <w:pPr>
        <w:autoSpaceDE w:val="0"/>
        <w:autoSpaceDN w:val="0"/>
        <w:adjustRightInd w:val="0"/>
        <w:spacing w:after="0" w:line="240" w:lineRule="auto"/>
        <w:rPr>
          <w:i/>
          <w:szCs w:val="22"/>
        </w:rPr>
      </w:pPr>
      <w:r w:rsidRPr="007D30E1">
        <w:rPr>
          <w:i/>
          <w:szCs w:val="22"/>
        </w:rPr>
        <w:t xml:space="preserve">Regulation reference: Regulation 3 (5), 4 (2) (b) and Schedule 2 part 3 paragraph1 and 12 (a) of the Local Government Pension Scheme Regulations 2013/2356 </w:t>
      </w:r>
    </w:p>
    <w:p w:rsidR="007D30E1" w:rsidRDefault="009B1438" w:rsidP="007D30E1">
      <w:pPr>
        <w:autoSpaceDE w:val="0"/>
        <w:autoSpaceDN w:val="0"/>
        <w:adjustRightInd w:val="0"/>
        <w:spacing w:after="0" w:line="240" w:lineRule="auto"/>
        <w:rPr>
          <w:szCs w:val="22"/>
        </w:rPr>
      </w:pPr>
    </w:p>
    <w:p w:rsidR="007D30E1" w:rsidRPr="007D30E1" w:rsidRDefault="004129DC" w:rsidP="007D30E1">
      <w:pPr>
        <w:autoSpaceDE w:val="0"/>
        <w:autoSpaceDN w:val="0"/>
        <w:adjustRightInd w:val="0"/>
        <w:spacing w:after="0" w:line="240" w:lineRule="auto"/>
        <w:rPr>
          <w:szCs w:val="22"/>
        </w:rPr>
      </w:pPr>
      <w:r w:rsidRPr="007D30E1">
        <w:rPr>
          <w:szCs w:val="22"/>
        </w:rPr>
        <w:t>The regulations above detail the criteria under which an admission body may enter into an admission agreement with the Lancashire County Pension Fund. Th</w:t>
      </w:r>
      <w:r>
        <w:rPr>
          <w:szCs w:val="22"/>
        </w:rPr>
        <w:t>ose</w:t>
      </w:r>
      <w:r w:rsidRPr="007D30E1">
        <w:rPr>
          <w:szCs w:val="22"/>
        </w:rPr>
        <w:t xml:space="preserve"> criteria </w:t>
      </w:r>
      <w:r>
        <w:rPr>
          <w:szCs w:val="22"/>
        </w:rPr>
        <w:t>are</w:t>
      </w:r>
      <w:r w:rsidRPr="007D30E1">
        <w:rPr>
          <w:szCs w:val="22"/>
        </w:rPr>
        <w:t xml:space="preserve"> set out below specifically under the terms of Schedule 2 Part 3 paragraph 1 and Regulation 4 (2) (b): </w:t>
      </w:r>
    </w:p>
    <w:p w:rsidR="007D30E1" w:rsidRDefault="009B1438" w:rsidP="007D30E1">
      <w:pPr>
        <w:autoSpaceDE w:val="0"/>
        <w:autoSpaceDN w:val="0"/>
        <w:adjustRightInd w:val="0"/>
        <w:spacing w:after="0" w:line="240" w:lineRule="auto"/>
        <w:rPr>
          <w:szCs w:val="22"/>
        </w:rPr>
      </w:pPr>
    </w:p>
    <w:p w:rsidR="007D30E1" w:rsidRPr="007D30E1" w:rsidRDefault="004129DC" w:rsidP="007D30E1">
      <w:pPr>
        <w:autoSpaceDE w:val="0"/>
        <w:autoSpaceDN w:val="0"/>
        <w:adjustRightInd w:val="0"/>
        <w:spacing w:after="0" w:line="240" w:lineRule="auto"/>
        <w:rPr>
          <w:i/>
          <w:szCs w:val="22"/>
        </w:rPr>
      </w:pPr>
      <w:r w:rsidRPr="007D30E1">
        <w:rPr>
          <w:i/>
          <w:szCs w:val="22"/>
        </w:rPr>
        <w:t xml:space="preserve">Schedule 2 Part 3 paragraph 1 </w:t>
      </w:r>
    </w:p>
    <w:p w:rsidR="007D30E1" w:rsidRDefault="009B1438" w:rsidP="007D30E1">
      <w:pPr>
        <w:autoSpaceDE w:val="0"/>
        <w:autoSpaceDN w:val="0"/>
        <w:adjustRightInd w:val="0"/>
        <w:spacing w:after="0" w:line="240" w:lineRule="auto"/>
        <w:rPr>
          <w:szCs w:val="22"/>
        </w:rPr>
      </w:pPr>
    </w:p>
    <w:p w:rsidR="007D30E1" w:rsidRDefault="004129DC" w:rsidP="007D30E1">
      <w:pPr>
        <w:pStyle w:val="ListParagraph"/>
        <w:numPr>
          <w:ilvl w:val="0"/>
          <w:numId w:val="41"/>
        </w:numPr>
        <w:autoSpaceDE w:val="0"/>
        <w:autoSpaceDN w:val="0"/>
        <w:adjustRightInd w:val="0"/>
        <w:spacing w:after="0" w:line="240" w:lineRule="auto"/>
        <w:ind w:left="720"/>
        <w:rPr>
          <w:i/>
          <w:szCs w:val="22"/>
        </w:rPr>
      </w:pPr>
      <w:r w:rsidRPr="007D30E1">
        <w:rPr>
          <w:i/>
          <w:szCs w:val="22"/>
        </w:rPr>
        <w:t xml:space="preserve">a body which provides a public service in the United Kingdom which operates otherwise than for the purposes of gain and has sufficient links with a Scheme employer for the body and the Scheme employer to be regarded as having a community of interest (whether because the operations of the body are dependent on the operations of the Scheme employer or otherwise); </w:t>
      </w:r>
    </w:p>
    <w:p w:rsidR="007D30E1" w:rsidRDefault="004129DC" w:rsidP="007D30E1">
      <w:pPr>
        <w:pStyle w:val="ListParagraph"/>
        <w:numPr>
          <w:ilvl w:val="0"/>
          <w:numId w:val="41"/>
        </w:numPr>
        <w:autoSpaceDE w:val="0"/>
        <w:autoSpaceDN w:val="0"/>
        <w:adjustRightInd w:val="0"/>
        <w:spacing w:after="0" w:line="240" w:lineRule="auto"/>
        <w:ind w:left="720"/>
        <w:rPr>
          <w:i/>
          <w:szCs w:val="22"/>
        </w:rPr>
      </w:pPr>
      <w:r w:rsidRPr="007D30E1">
        <w:rPr>
          <w:i/>
          <w:szCs w:val="22"/>
        </w:rPr>
        <w:t xml:space="preserve">a body, to the funds of which a Scheme employer contributes; </w:t>
      </w:r>
    </w:p>
    <w:p w:rsidR="007D30E1" w:rsidRDefault="004129DC" w:rsidP="007D30E1">
      <w:pPr>
        <w:pStyle w:val="ListParagraph"/>
        <w:numPr>
          <w:ilvl w:val="0"/>
          <w:numId w:val="41"/>
        </w:numPr>
        <w:autoSpaceDE w:val="0"/>
        <w:autoSpaceDN w:val="0"/>
        <w:adjustRightInd w:val="0"/>
        <w:spacing w:after="0" w:line="240" w:lineRule="auto"/>
        <w:ind w:left="720"/>
        <w:rPr>
          <w:i/>
          <w:szCs w:val="22"/>
        </w:rPr>
      </w:pPr>
      <w:r w:rsidRPr="007D30E1">
        <w:rPr>
          <w:i/>
          <w:szCs w:val="22"/>
        </w:rPr>
        <w:t>a body representative of</w:t>
      </w:r>
    </w:p>
    <w:p w:rsidR="007D30E1" w:rsidRPr="007D30E1" w:rsidRDefault="004129DC"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any Scheme employers, or </w:t>
      </w:r>
    </w:p>
    <w:p w:rsidR="007D30E1" w:rsidRPr="007D30E1" w:rsidRDefault="004129DC"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(ii) local authorities or officers of local authorities; </w:t>
      </w:r>
    </w:p>
    <w:p w:rsidR="007D30E1" w:rsidRPr="007D30E1" w:rsidRDefault="004129DC" w:rsidP="007D30E1">
      <w:pPr>
        <w:pStyle w:val="ListParagraph"/>
        <w:numPr>
          <w:ilvl w:val="0"/>
          <w:numId w:val="41"/>
        </w:numPr>
        <w:autoSpaceDE w:val="0"/>
        <w:autoSpaceDN w:val="0"/>
        <w:adjustRightInd w:val="0"/>
        <w:spacing w:after="0" w:line="240" w:lineRule="auto"/>
        <w:ind w:left="720"/>
        <w:rPr>
          <w:i/>
          <w:szCs w:val="22"/>
        </w:rPr>
      </w:pPr>
      <w:r w:rsidRPr="007D30E1">
        <w:rPr>
          <w:i/>
          <w:szCs w:val="22"/>
        </w:rPr>
        <w:t xml:space="preserve">a body that is providing or will provide a service or assets in connection with the exercise of a function of a Scheme employer as a result of— </w:t>
      </w:r>
    </w:p>
    <w:p w:rsidR="007D30E1" w:rsidRPr="007D30E1" w:rsidRDefault="004129DC"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the transfer of the service or assets by means of a contract or other arrangement, </w:t>
      </w:r>
    </w:p>
    <w:p w:rsidR="007D30E1" w:rsidRPr="007D30E1" w:rsidRDefault="004129DC"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a direction made under section 15 of the Local Government Act 1999 (Secretary of State's powers), </w:t>
      </w:r>
    </w:p>
    <w:p w:rsidR="007D30E1" w:rsidRPr="007D30E1" w:rsidRDefault="004129DC"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directions made under section 497A of the Education Act 1996; </w:t>
      </w:r>
    </w:p>
    <w:p w:rsidR="007D30E1" w:rsidRPr="007D30E1" w:rsidRDefault="004129DC" w:rsidP="007D30E1">
      <w:pPr>
        <w:pStyle w:val="ListParagraph"/>
        <w:numPr>
          <w:ilvl w:val="0"/>
          <w:numId w:val="41"/>
        </w:numPr>
        <w:autoSpaceDE w:val="0"/>
        <w:autoSpaceDN w:val="0"/>
        <w:adjustRightInd w:val="0"/>
        <w:spacing w:after="0" w:line="240" w:lineRule="auto"/>
        <w:ind w:left="720"/>
        <w:rPr>
          <w:i/>
          <w:szCs w:val="22"/>
        </w:rPr>
      </w:pPr>
      <w:r w:rsidRPr="007D30E1">
        <w:rPr>
          <w:i/>
          <w:szCs w:val="22"/>
        </w:rPr>
        <w:t xml:space="preserve">a body which provides a public service in the United Kingdom and is approved in writing by the Secretary of State for the purpose of admission to the Scheme </w:t>
      </w:r>
    </w:p>
    <w:p w:rsidR="007D30E1" w:rsidRDefault="009B1438" w:rsidP="007D30E1">
      <w:pPr>
        <w:pStyle w:val="ListParagraph"/>
        <w:autoSpaceDE w:val="0"/>
        <w:autoSpaceDN w:val="0"/>
        <w:adjustRightInd w:val="0"/>
        <w:spacing w:after="0" w:line="240" w:lineRule="auto"/>
        <w:rPr>
          <w:i/>
          <w:szCs w:val="22"/>
        </w:rPr>
      </w:pPr>
    </w:p>
    <w:p w:rsidR="007D30E1" w:rsidRPr="007D30E1" w:rsidRDefault="004129DC" w:rsidP="007D30E1">
      <w:pPr>
        <w:autoSpaceDE w:val="0"/>
        <w:autoSpaceDN w:val="0"/>
        <w:adjustRightInd w:val="0"/>
        <w:spacing w:after="0" w:line="240" w:lineRule="auto"/>
        <w:rPr>
          <w:i/>
          <w:szCs w:val="22"/>
        </w:rPr>
      </w:pPr>
      <w:r w:rsidRPr="007D30E1">
        <w:rPr>
          <w:i/>
          <w:szCs w:val="22"/>
        </w:rPr>
        <w:t xml:space="preserve">Regulation 4 (2) (b) </w:t>
      </w:r>
    </w:p>
    <w:p w:rsidR="007D30E1" w:rsidRDefault="009B1438" w:rsidP="007D30E1">
      <w:pPr>
        <w:pStyle w:val="ListParagraph"/>
        <w:autoSpaceDE w:val="0"/>
        <w:autoSpaceDN w:val="0"/>
        <w:adjustRightInd w:val="0"/>
        <w:spacing w:after="0" w:line="240" w:lineRule="auto"/>
        <w:rPr>
          <w:i/>
          <w:szCs w:val="22"/>
        </w:rPr>
      </w:pPr>
    </w:p>
    <w:p w:rsidR="007D30E1" w:rsidRDefault="004129DC" w:rsidP="007D30E1">
      <w:pPr>
        <w:autoSpaceDE w:val="0"/>
        <w:autoSpaceDN w:val="0"/>
        <w:adjustRightInd w:val="0"/>
        <w:spacing w:after="0" w:line="240" w:lineRule="auto"/>
        <w:rPr>
          <w:i/>
          <w:szCs w:val="22"/>
        </w:rPr>
      </w:pPr>
      <w:r w:rsidRPr="007D30E1">
        <w:rPr>
          <w:i/>
          <w:szCs w:val="22"/>
        </w:rPr>
        <w:t xml:space="preserve">Where a person's entitlement to be a member of an NHS Scheme is by reason of employment by— </w:t>
      </w:r>
    </w:p>
    <w:p w:rsidR="007D30E1" w:rsidRPr="007D30E1" w:rsidRDefault="004129DC"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a Care Trust designated under section 77 of the National Health Service Act 2006, </w:t>
      </w:r>
    </w:p>
    <w:p w:rsidR="007D30E1" w:rsidRPr="007D30E1" w:rsidRDefault="004129DC"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an NHS Scheme employing authority as a result of a prescribed arrangement under section 75 of that Act, or section 33 of the National Health Service (Wales) Act 2006, or </w:t>
      </w:r>
    </w:p>
    <w:p w:rsidR="007D30E1" w:rsidRDefault="004129DC"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lastRenderedPageBreak/>
        <w:t xml:space="preserve">the Care Quality Commission as a result of a transfer of employment from the Commission for Social Care Inspection, in connection with its dissolution under Part 1 of the Health and Social Care Act 2008; </w:t>
      </w:r>
    </w:p>
    <w:p w:rsidR="007D30E1" w:rsidRPr="007D30E1" w:rsidRDefault="009B1438" w:rsidP="007D30E1">
      <w:pPr>
        <w:autoSpaceDE w:val="0"/>
        <w:autoSpaceDN w:val="0"/>
        <w:adjustRightInd w:val="0"/>
        <w:spacing w:after="0" w:line="240" w:lineRule="auto"/>
        <w:rPr>
          <w:i/>
          <w:szCs w:val="22"/>
        </w:rPr>
      </w:pPr>
    </w:p>
    <w:p w:rsidR="007D30E1" w:rsidRPr="007D30E1" w:rsidRDefault="004129DC" w:rsidP="007D30E1">
      <w:pPr>
        <w:autoSpaceDE w:val="0"/>
        <w:autoSpaceDN w:val="0"/>
        <w:adjustRightInd w:val="0"/>
        <w:spacing w:after="0" w:line="240" w:lineRule="auto"/>
        <w:rPr>
          <w:i/>
          <w:szCs w:val="22"/>
        </w:rPr>
      </w:pPr>
      <w:r w:rsidRPr="007D30E1">
        <w:rPr>
          <w:i/>
          <w:szCs w:val="22"/>
        </w:rPr>
        <w:t>Then that person can be designated as eligible for membership of the Scheme in an admission agreement made between an administering authority and one of the bodies specified in</w:t>
      </w:r>
      <w:r>
        <w:rPr>
          <w:i/>
          <w:szCs w:val="22"/>
        </w:rPr>
        <w:t xml:space="preserve"> </w:t>
      </w:r>
      <w:r w:rsidRPr="007D30E1">
        <w:rPr>
          <w:i/>
          <w:szCs w:val="22"/>
        </w:rPr>
        <w:t xml:space="preserve">(i) to (iii) above if the person was an active member immediately before becoming employed by one of those bodies; and the person is not an active member of an NHS Scheme in relation to that employment. </w:t>
      </w:r>
    </w:p>
    <w:p w:rsidR="007D30E1" w:rsidRPr="007D30E1" w:rsidRDefault="009B1438" w:rsidP="007D30E1">
      <w:pPr>
        <w:autoSpaceDE w:val="0"/>
        <w:autoSpaceDN w:val="0"/>
        <w:adjustRightInd w:val="0"/>
        <w:spacing w:after="0" w:line="240" w:lineRule="auto"/>
        <w:rPr>
          <w:szCs w:val="22"/>
        </w:rPr>
      </w:pPr>
    </w:p>
    <w:p w:rsidR="007D30E1" w:rsidRPr="007D30E1" w:rsidRDefault="004129DC" w:rsidP="007D30E1">
      <w:pPr>
        <w:pStyle w:val="ListParagraph"/>
        <w:numPr>
          <w:ilvl w:val="0"/>
          <w:numId w:val="40"/>
        </w:numPr>
        <w:spacing w:after="0" w:line="240" w:lineRule="auto"/>
        <w:jc w:val="both"/>
        <w:rPr>
          <w:caps/>
          <w:color w:val="002C77"/>
          <w:spacing w:val="30"/>
          <w:szCs w:val="26"/>
        </w:rPr>
      </w:pPr>
      <w:r w:rsidRPr="007D30E1">
        <w:rPr>
          <w:caps/>
          <w:color w:val="002C77"/>
          <w:spacing w:val="30"/>
          <w:szCs w:val="26"/>
        </w:rPr>
        <w:t xml:space="preserve">Policy Statement </w:t>
      </w:r>
    </w:p>
    <w:p w:rsidR="007D30E1" w:rsidRDefault="009B1438" w:rsidP="007D30E1">
      <w:pPr>
        <w:autoSpaceDE w:val="0"/>
        <w:autoSpaceDN w:val="0"/>
        <w:adjustRightInd w:val="0"/>
        <w:spacing w:after="0" w:line="240" w:lineRule="auto"/>
        <w:rPr>
          <w:szCs w:val="22"/>
        </w:rPr>
      </w:pPr>
    </w:p>
    <w:p w:rsidR="007D30E1" w:rsidRDefault="004129DC" w:rsidP="007D30E1">
      <w:pPr>
        <w:pStyle w:val="ListParagraph"/>
        <w:numPr>
          <w:ilvl w:val="0"/>
          <w:numId w:val="42"/>
        </w:numPr>
        <w:autoSpaceDE w:val="0"/>
        <w:autoSpaceDN w:val="0"/>
        <w:adjustRightInd w:val="0"/>
        <w:spacing w:after="0" w:line="240" w:lineRule="auto"/>
        <w:rPr>
          <w:b/>
          <w:szCs w:val="22"/>
        </w:rPr>
      </w:pPr>
      <w:r w:rsidRPr="007D30E1">
        <w:rPr>
          <w:b/>
          <w:szCs w:val="22"/>
        </w:rPr>
        <w:t xml:space="preserve">Criteria for admission to the Lancashire County Pension Fund of prospective admission bodies falling under Schedule 2 Part 3 </w:t>
      </w:r>
      <w:r>
        <w:rPr>
          <w:b/>
          <w:szCs w:val="22"/>
        </w:rPr>
        <w:t xml:space="preserve">para </w:t>
      </w:r>
      <w:r w:rsidRPr="007D30E1">
        <w:rPr>
          <w:b/>
          <w:szCs w:val="22"/>
        </w:rPr>
        <w:t xml:space="preserve">1 (d) (i) (formerly known as Transferee Admission Bodies) </w:t>
      </w:r>
    </w:p>
    <w:p w:rsidR="007D30E1" w:rsidRPr="007D30E1" w:rsidRDefault="009B1438" w:rsidP="007D30E1">
      <w:pPr>
        <w:pStyle w:val="ListParagraph"/>
        <w:autoSpaceDE w:val="0"/>
        <w:autoSpaceDN w:val="0"/>
        <w:adjustRightInd w:val="0"/>
        <w:spacing w:after="0" w:line="240" w:lineRule="auto"/>
        <w:rPr>
          <w:b/>
          <w:szCs w:val="22"/>
        </w:rPr>
      </w:pPr>
    </w:p>
    <w:p w:rsidR="007D30E1" w:rsidRDefault="004129DC" w:rsidP="007D30E1">
      <w:pPr>
        <w:autoSpaceDE w:val="0"/>
        <w:autoSpaceDN w:val="0"/>
        <w:adjustRightInd w:val="0"/>
        <w:spacing w:after="0" w:line="240" w:lineRule="auto"/>
        <w:ind w:left="720"/>
        <w:rPr>
          <w:szCs w:val="22"/>
        </w:rPr>
      </w:pPr>
      <w:r w:rsidRPr="007D30E1">
        <w:rPr>
          <w:szCs w:val="22"/>
        </w:rPr>
        <w:t>Admissions under this criterion relate to organisations that have taken on work on behalf of a scheme employer by means of a contract or other arrangement. The Fund's policy is to accept these admissions but may not do so if there are unaddressed concerns around the prior compliance</w:t>
      </w:r>
      <w:r>
        <w:rPr>
          <w:szCs w:val="22"/>
        </w:rPr>
        <w:t>,</w:t>
      </w:r>
      <w:r w:rsidRPr="007D30E1">
        <w:rPr>
          <w:szCs w:val="22"/>
        </w:rPr>
        <w:t xml:space="preserve"> with the Fund's Pensions Administration Strategy Statement (PASS), of an existing admitted employer. The Fund dedicates significant resource to supporting employers with PASS compliance, and will engage on an ongoing basis with employers proactively to ensure they understand and meet PASS commitments. </w:t>
      </w:r>
    </w:p>
    <w:p w:rsidR="007D30E1" w:rsidRPr="007D30E1" w:rsidRDefault="009B1438" w:rsidP="007D30E1">
      <w:pPr>
        <w:autoSpaceDE w:val="0"/>
        <w:autoSpaceDN w:val="0"/>
        <w:adjustRightInd w:val="0"/>
        <w:spacing w:after="0" w:line="240" w:lineRule="auto"/>
        <w:ind w:left="720"/>
        <w:rPr>
          <w:szCs w:val="22"/>
        </w:rPr>
      </w:pPr>
    </w:p>
    <w:p w:rsidR="007D30E1" w:rsidRPr="007D30E1" w:rsidRDefault="004129DC" w:rsidP="007D30E1">
      <w:pPr>
        <w:autoSpaceDE w:val="0"/>
        <w:autoSpaceDN w:val="0"/>
        <w:adjustRightInd w:val="0"/>
        <w:spacing w:after="0" w:line="240" w:lineRule="auto"/>
        <w:ind w:left="720"/>
        <w:rPr>
          <w:szCs w:val="22"/>
        </w:rPr>
      </w:pPr>
      <w:r w:rsidRPr="007D30E1">
        <w:rPr>
          <w:szCs w:val="22"/>
        </w:rPr>
        <w:t xml:space="preserve">Unless exceptional circumstances are identified the Fund's default position will be for the admitted body to commence from a 100% funded position and be closed to those eligible employees identified at the point of transfer. </w:t>
      </w:r>
    </w:p>
    <w:p w:rsidR="007D30E1" w:rsidRDefault="009B1438" w:rsidP="007D30E1">
      <w:pPr>
        <w:autoSpaceDE w:val="0"/>
        <w:autoSpaceDN w:val="0"/>
        <w:adjustRightInd w:val="0"/>
        <w:spacing w:after="0" w:line="240" w:lineRule="auto"/>
        <w:ind w:left="720"/>
        <w:rPr>
          <w:szCs w:val="22"/>
        </w:rPr>
      </w:pPr>
    </w:p>
    <w:p w:rsidR="007D30E1" w:rsidRPr="007D30E1" w:rsidRDefault="004129DC" w:rsidP="007D30E1">
      <w:pPr>
        <w:autoSpaceDE w:val="0"/>
        <w:autoSpaceDN w:val="0"/>
        <w:adjustRightInd w:val="0"/>
        <w:spacing w:after="0" w:line="240" w:lineRule="auto"/>
        <w:ind w:left="720"/>
        <w:rPr>
          <w:szCs w:val="22"/>
        </w:rPr>
      </w:pPr>
      <w:r w:rsidRPr="007D30E1">
        <w:rPr>
          <w:szCs w:val="22"/>
        </w:rPr>
        <w:t xml:space="preserve">In addition where it is deemed appropriate, following a risk analysis agreed by the transferring Scheme employer and administering authority, a bond, indemnity or other form of security may be required to be put in place to cover potential liabilities. </w:t>
      </w:r>
      <w:r>
        <w:rPr>
          <w:szCs w:val="22"/>
        </w:rPr>
        <w:t xml:space="preserve">The </w:t>
      </w:r>
      <w:r w:rsidRPr="007D30E1">
        <w:rPr>
          <w:szCs w:val="22"/>
        </w:rPr>
        <w:t xml:space="preserve">Fund reserves the right to insist on security even if the transferring employer does not agree. </w:t>
      </w:r>
    </w:p>
    <w:p w:rsidR="007D30E1" w:rsidRDefault="009B1438" w:rsidP="007D30E1">
      <w:pPr>
        <w:autoSpaceDE w:val="0"/>
        <w:autoSpaceDN w:val="0"/>
        <w:adjustRightInd w:val="0"/>
        <w:spacing w:after="0" w:line="240" w:lineRule="auto"/>
        <w:rPr>
          <w:szCs w:val="22"/>
        </w:rPr>
      </w:pPr>
    </w:p>
    <w:p w:rsidR="007D30E1" w:rsidRPr="007D30E1" w:rsidRDefault="004129DC" w:rsidP="007D30E1">
      <w:pPr>
        <w:pStyle w:val="ListParagraph"/>
        <w:numPr>
          <w:ilvl w:val="0"/>
          <w:numId w:val="42"/>
        </w:numPr>
        <w:autoSpaceDE w:val="0"/>
        <w:autoSpaceDN w:val="0"/>
        <w:adjustRightInd w:val="0"/>
        <w:spacing w:after="0" w:line="240" w:lineRule="auto"/>
        <w:rPr>
          <w:b/>
          <w:szCs w:val="22"/>
        </w:rPr>
      </w:pPr>
      <w:r w:rsidRPr="007D30E1">
        <w:rPr>
          <w:b/>
          <w:szCs w:val="22"/>
        </w:rPr>
        <w:t xml:space="preserve">Criteria for admission to the Lancashire County Pension Fund of prospective admission bodies falling under Regulation 4 (2) (b) </w:t>
      </w:r>
    </w:p>
    <w:p w:rsidR="003003BA" w:rsidRDefault="009B1438" w:rsidP="007D30E1">
      <w:pPr>
        <w:autoSpaceDE w:val="0"/>
        <w:autoSpaceDN w:val="0"/>
        <w:adjustRightInd w:val="0"/>
        <w:spacing w:after="0" w:line="240" w:lineRule="auto"/>
        <w:ind w:left="720"/>
        <w:rPr>
          <w:szCs w:val="22"/>
        </w:rPr>
      </w:pPr>
    </w:p>
    <w:p w:rsidR="007D30E1" w:rsidRPr="007D30E1" w:rsidRDefault="004129DC" w:rsidP="007D30E1">
      <w:pPr>
        <w:autoSpaceDE w:val="0"/>
        <w:autoSpaceDN w:val="0"/>
        <w:adjustRightInd w:val="0"/>
        <w:spacing w:after="0" w:line="240" w:lineRule="auto"/>
        <w:ind w:left="720"/>
        <w:rPr>
          <w:szCs w:val="22"/>
        </w:rPr>
      </w:pPr>
      <w:r w:rsidRPr="007D30E1">
        <w:rPr>
          <w:szCs w:val="22"/>
        </w:rPr>
        <w:t xml:space="preserve">An application for an admission agreement from a Care Trust will be accepted on the basis that a guarantee will exist (or if in doubt, be explicitly provided) by either the NHS or the Local Authority as part of partnership working arrangements, or ultimately the Treasury in the event that a trust failed. </w:t>
      </w:r>
    </w:p>
    <w:p w:rsidR="003003BA" w:rsidRDefault="009B1438" w:rsidP="003003BA">
      <w:pPr>
        <w:pStyle w:val="ListParagraph"/>
        <w:autoSpaceDE w:val="0"/>
        <w:autoSpaceDN w:val="0"/>
        <w:adjustRightInd w:val="0"/>
        <w:spacing w:after="0" w:line="240" w:lineRule="auto"/>
        <w:rPr>
          <w:b/>
          <w:szCs w:val="22"/>
        </w:rPr>
      </w:pPr>
    </w:p>
    <w:p w:rsidR="007D30E1" w:rsidRPr="007D30E1" w:rsidRDefault="004129DC" w:rsidP="003003BA">
      <w:pPr>
        <w:pStyle w:val="ListParagraph"/>
        <w:numPr>
          <w:ilvl w:val="0"/>
          <w:numId w:val="42"/>
        </w:numPr>
        <w:autoSpaceDE w:val="0"/>
        <w:autoSpaceDN w:val="0"/>
        <w:adjustRightInd w:val="0"/>
        <w:spacing w:after="0" w:line="240" w:lineRule="auto"/>
        <w:rPr>
          <w:b/>
          <w:szCs w:val="22"/>
        </w:rPr>
      </w:pPr>
      <w:r w:rsidRPr="007D30E1">
        <w:rPr>
          <w:b/>
          <w:szCs w:val="22"/>
        </w:rPr>
        <w:t xml:space="preserve">Criteria for admission to the Lancashire County Pension Fund of prospective admission bodies falling under Schedule 2 Part 3 </w:t>
      </w:r>
      <w:r>
        <w:rPr>
          <w:b/>
          <w:szCs w:val="22"/>
        </w:rPr>
        <w:t xml:space="preserve">para </w:t>
      </w:r>
      <w:r w:rsidRPr="007D30E1">
        <w:rPr>
          <w:b/>
          <w:szCs w:val="22"/>
        </w:rPr>
        <w:t xml:space="preserve">1 (a) (formerly known as Community Admission Bodies) and the remaining criteria under schedule 2 Part 3 excluding </w:t>
      </w:r>
      <w:r>
        <w:rPr>
          <w:b/>
          <w:szCs w:val="22"/>
        </w:rPr>
        <w:t xml:space="preserve">a) </w:t>
      </w:r>
      <w:r w:rsidRPr="007D30E1">
        <w:rPr>
          <w:b/>
          <w:szCs w:val="22"/>
        </w:rPr>
        <w:t xml:space="preserve">above </w:t>
      </w:r>
    </w:p>
    <w:p w:rsidR="003003BA" w:rsidRDefault="009B1438" w:rsidP="007D30E1">
      <w:pPr>
        <w:autoSpaceDE w:val="0"/>
        <w:autoSpaceDN w:val="0"/>
        <w:adjustRightInd w:val="0"/>
        <w:spacing w:after="0" w:line="240" w:lineRule="auto"/>
        <w:rPr>
          <w:szCs w:val="22"/>
        </w:rPr>
      </w:pPr>
    </w:p>
    <w:p w:rsidR="007D30E1" w:rsidRDefault="004129DC" w:rsidP="003003BA">
      <w:pPr>
        <w:autoSpaceDE w:val="0"/>
        <w:autoSpaceDN w:val="0"/>
        <w:adjustRightInd w:val="0"/>
        <w:spacing w:after="0" w:line="240" w:lineRule="auto"/>
        <w:ind w:left="720"/>
        <w:rPr>
          <w:szCs w:val="22"/>
        </w:rPr>
      </w:pPr>
      <w:r w:rsidRPr="00B170E1">
        <w:rPr>
          <w:szCs w:val="22"/>
        </w:rPr>
        <w:t>The Fund will expect an existing scheme employer to act as guarantor in respect of an admission (normally the Fund will require this to be a scheduled body of suitable standing).  Otherwise, the Fund's policy is not to accept admissions unless exceptional circumstances apply, as determined</w:t>
      </w:r>
      <w:r w:rsidRPr="007D30E1">
        <w:rPr>
          <w:szCs w:val="22"/>
        </w:rPr>
        <w:t xml:space="preserve"> by the Head of the Lancashire County Pension Fund. </w:t>
      </w:r>
    </w:p>
    <w:p w:rsidR="003003BA" w:rsidRPr="007D30E1" w:rsidRDefault="009B1438" w:rsidP="003003BA">
      <w:pPr>
        <w:autoSpaceDE w:val="0"/>
        <w:autoSpaceDN w:val="0"/>
        <w:adjustRightInd w:val="0"/>
        <w:spacing w:after="0" w:line="240" w:lineRule="auto"/>
        <w:ind w:left="720"/>
        <w:rPr>
          <w:szCs w:val="22"/>
        </w:rPr>
      </w:pPr>
    </w:p>
    <w:p w:rsidR="003003BA" w:rsidRDefault="004129DC" w:rsidP="003003BA">
      <w:pPr>
        <w:autoSpaceDE w:val="0"/>
        <w:autoSpaceDN w:val="0"/>
        <w:adjustRightInd w:val="0"/>
        <w:spacing w:after="0" w:line="240" w:lineRule="auto"/>
        <w:ind w:left="720"/>
        <w:rPr>
          <w:szCs w:val="22"/>
        </w:rPr>
      </w:pPr>
      <w:r w:rsidRPr="007D30E1">
        <w:rPr>
          <w:szCs w:val="22"/>
        </w:rPr>
        <w:t>Where an admission is agreed, following a risk analysis agreed by the administering authority, a bond, indemnity or other form of security may be required to be put in place to cover potential liabilities as determined by either the Fund actuary or the Fund</w:t>
      </w:r>
      <w:r>
        <w:rPr>
          <w:szCs w:val="22"/>
        </w:rPr>
        <w:t xml:space="preserve">.  </w:t>
      </w:r>
    </w:p>
    <w:p w:rsidR="003003BA" w:rsidRDefault="009B1438" w:rsidP="003003BA">
      <w:pPr>
        <w:autoSpaceDE w:val="0"/>
        <w:autoSpaceDN w:val="0"/>
        <w:adjustRightInd w:val="0"/>
        <w:spacing w:after="0" w:line="240" w:lineRule="auto"/>
        <w:ind w:left="720"/>
        <w:rPr>
          <w:szCs w:val="22"/>
        </w:rPr>
      </w:pPr>
    </w:p>
    <w:p w:rsidR="007D30E1" w:rsidRPr="007D30E1" w:rsidRDefault="004129DC" w:rsidP="00B65F24">
      <w:pPr>
        <w:autoSpaceDE w:val="0"/>
        <w:autoSpaceDN w:val="0"/>
        <w:adjustRightInd w:val="0"/>
        <w:spacing w:after="0" w:line="240" w:lineRule="auto"/>
        <w:rPr>
          <w:szCs w:val="22"/>
        </w:rPr>
      </w:pPr>
      <w:r w:rsidRPr="007D30E1">
        <w:rPr>
          <w:szCs w:val="22"/>
        </w:rPr>
        <w:lastRenderedPageBreak/>
        <w:t xml:space="preserve">In all cases an admission body must accept and agree to meet the conditions of participation detailed at Appendix 1 and the clauses set out within Lancashire County Pension Fund's standard draft admission agreement. </w:t>
      </w:r>
    </w:p>
    <w:p w:rsidR="003003BA" w:rsidRDefault="009B1438" w:rsidP="003003BA">
      <w:pPr>
        <w:autoSpaceDE w:val="0"/>
        <w:autoSpaceDN w:val="0"/>
        <w:adjustRightInd w:val="0"/>
        <w:spacing w:after="0" w:line="240" w:lineRule="auto"/>
        <w:ind w:left="720"/>
        <w:rPr>
          <w:szCs w:val="22"/>
        </w:rPr>
      </w:pPr>
    </w:p>
    <w:p w:rsidR="007D30E1" w:rsidRPr="007D30E1" w:rsidRDefault="004129DC" w:rsidP="00551C87">
      <w:pPr>
        <w:autoSpaceDE w:val="0"/>
        <w:autoSpaceDN w:val="0"/>
        <w:adjustRightInd w:val="0"/>
        <w:spacing w:after="0" w:line="240" w:lineRule="auto"/>
        <w:rPr>
          <w:szCs w:val="22"/>
        </w:rPr>
      </w:pPr>
      <w:r w:rsidRPr="007D30E1">
        <w:rPr>
          <w:szCs w:val="22"/>
        </w:rPr>
        <w:t xml:space="preserve">The Fund's default position is that it will not amend its standard Admission Agreement template; should a prospective admitted body wish to enter into discussions around changing clauses within the template, then the staff time involved on the Fund side will be charged at £35 per hour </w:t>
      </w:r>
    </w:p>
    <w:p w:rsidR="003003BA" w:rsidRDefault="009B1438" w:rsidP="007D30E1">
      <w:pPr>
        <w:autoSpaceDE w:val="0"/>
        <w:autoSpaceDN w:val="0"/>
        <w:adjustRightInd w:val="0"/>
        <w:spacing w:after="0" w:line="240" w:lineRule="auto"/>
        <w:rPr>
          <w:szCs w:val="22"/>
        </w:rPr>
      </w:pPr>
    </w:p>
    <w:p w:rsidR="00F4667C" w:rsidRPr="00F4667C" w:rsidRDefault="004129DC" w:rsidP="00F4667C">
      <w:pPr>
        <w:pStyle w:val="Heading10"/>
      </w:pPr>
      <w:r w:rsidRPr="00F4667C">
        <w:t xml:space="preserve">Future Service Contribution Rates and Deficits </w:t>
      </w:r>
    </w:p>
    <w:p w:rsidR="00F4667C" w:rsidRDefault="009B1438" w:rsidP="00F4667C">
      <w:pPr>
        <w:spacing w:after="0" w:line="240" w:lineRule="auto"/>
        <w:jc w:val="both"/>
        <w:rPr>
          <w:szCs w:val="22"/>
        </w:rPr>
      </w:pPr>
    </w:p>
    <w:p w:rsidR="00F4667C" w:rsidRDefault="004129DC" w:rsidP="00F4667C">
      <w:pPr>
        <w:spacing w:after="0" w:line="240" w:lineRule="auto"/>
        <w:jc w:val="both"/>
        <w:rPr>
          <w:szCs w:val="22"/>
        </w:rPr>
      </w:pPr>
      <w:r w:rsidRPr="00F4667C">
        <w:rPr>
          <w:szCs w:val="22"/>
        </w:rPr>
        <w:t>In line with the philosophy of minimising costs for all involved, the Fund will use models</w:t>
      </w:r>
      <w:r>
        <w:rPr>
          <w:szCs w:val="22"/>
        </w:rPr>
        <w:t xml:space="preserve"> (where possible)</w:t>
      </w:r>
      <w:r w:rsidRPr="00F4667C">
        <w:rPr>
          <w:szCs w:val="22"/>
        </w:rPr>
        <w:t xml:space="preserve"> provided by the Fund actuary which will set interim future service contribution rates (FSR) and deficits according to the principles set out below. </w:t>
      </w:r>
    </w:p>
    <w:p w:rsidR="00F4667C" w:rsidRPr="00F4667C" w:rsidRDefault="009B1438" w:rsidP="00F4667C">
      <w:pPr>
        <w:spacing w:after="0" w:line="240" w:lineRule="auto"/>
        <w:jc w:val="both"/>
        <w:rPr>
          <w:szCs w:val="22"/>
        </w:rPr>
      </w:pPr>
    </w:p>
    <w:p w:rsidR="00F4667C" w:rsidRDefault="004129DC" w:rsidP="00F4667C">
      <w:pPr>
        <w:spacing w:after="0" w:line="240" w:lineRule="auto"/>
        <w:jc w:val="both"/>
        <w:rPr>
          <w:szCs w:val="22"/>
        </w:rPr>
      </w:pPr>
      <w:r w:rsidRPr="00F4667C">
        <w:rPr>
          <w:szCs w:val="22"/>
        </w:rPr>
        <w:t xml:space="preserve">Models are used in respect of new academies, Parish or Town Councils and the admission of an employer in respect of an arrangement to carry out work on behalf of a scheme employer by means of a contract or other arrangement. </w:t>
      </w:r>
    </w:p>
    <w:p w:rsidR="00F4667C" w:rsidRPr="00F4667C" w:rsidRDefault="009B1438" w:rsidP="00F4667C">
      <w:pPr>
        <w:spacing w:after="0" w:line="240" w:lineRule="auto"/>
        <w:jc w:val="both"/>
        <w:rPr>
          <w:szCs w:val="22"/>
        </w:rPr>
      </w:pPr>
    </w:p>
    <w:p w:rsidR="00F4667C" w:rsidRDefault="004129DC" w:rsidP="00F4667C">
      <w:pPr>
        <w:spacing w:after="0" w:line="240" w:lineRule="auto"/>
        <w:jc w:val="both"/>
        <w:rPr>
          <w:szCs w:val="22"/>
        </w:rPr>
      </w:pPr>
      <w:r w:rsidRPr="00F4667C">
        <w:rPr>
          <w:szCs w:val="22"/>
        </w:rPr>
        <w:t xml:space="preserve">Where the parameters fall outside those specified within the models below, admissions will normally involve a full actuarial assessment of relevant parameters. Any risk issues will be addressed by the Fund with a view to minimising risk exposure to itself. </w:t>
      </w:r>
    </w:p>
    <w:p w:rsidR="00F4667C" w:rsidRPr="00F4667C" w:rsidRDefault="009B1438" w:rsidP="00F4667C">
      <w:pPr>
        <w:spacing w:after="0" w:line="240" w:lineRule="auto"/>
        <w:jc w:val="both"/>
        <w:rPr>
          <w:szCs w:val="22"/>
        </w:rPr>
      </w:pPr>
    </w:p>
    <w:p w:rsidR="00F4667C" w:rsidRPr="00F4667C" w:rsidRDefault="004129DC" w:rsidP="00F4667C">
      <w:pPr>
        <w:spacing w:after="0" w:line="240" w:lineRule="auto"/>
        <w:jc w:val="both"/>
        <w:rPr>
          <w:szCs w:val="22"/>
        </w:rPr>
      </w:pPr>
      <w:r w:rsidRPr="00F4667C">
        <w:rPr>
          <w:szCs w:val="22"/>
        </w:rPr>
        <w:t xml:space="preserve">The deficit recovery periods for all admission bodies will normally be determined against the policy set out in the Funding Strategy Statement. However the administering authority reserves the right to determine that an employer specific deficit recovery period will apply. </w:t>
      </w:r>
    </w:p>
    <w:p w:rsidR="00F4667C" w:rsidRDefault="009B1438" w:rsidP="00F4667C">
      <w:pPr>
        <w:spacing w:after="0" w:line="240" w:lineRule="auto"/>
        <w:jc w:val="both"/>
        <w:rPr>
          <w:szCs w:val="22"/>
        </w:rPr>
      </w:pPr>
    </w:p>
    <w:p w:rsidR="00F4667C" w:rsidRDefault="004129DC" w:rsidP="00F4667C">
      <w:pPr>
        <w:pStyle w:val="Heading10"/>
        <w:rPr>
          <w:i/>
        </w:rPr>
      </w:pPr>
      <w:r w:rsidRPr="00F4667C">
        <w:rPr>
          <w:i/>
        </w:rPr>
        <w:t xml:space="preserve">1 - Academies </w:t>
      </w:r>
    </w:p>
    <w:p w:rsidR="00F4667C" w:rsidRDefault="009B1438" w:rsidP="00F4667C">
      <w:pPr>
        <w:spacing w:after="0" w:line="240" w:lineRule="auto"/>
        <w:jc w:val="both"/>
        <w:rPr>
          <w:szCs w:val="22"/>
        </w:rPr>
      </w:pPr>
    </w:p>
    <w:p w:rsidR="00F4667C" w:rsidRDefault="004129DC" w:rsidP="00F4667C">
      <w:pPr>
        <w:spacing w:after="0" w:line="240" w:lineRule="auto"/>
        <w:jc w:val="both"/>
        <w:rPr>
          <w:szCs w:val="22"/>
        </w:rPr>
      </w:pPr>
      <w:r w:rsidRPr="00F4667C">
        <w:rPr>
          <w:szCs w:val="22"/>
        </w:rPr>
        <w:t xml:space="preserve">The new Academy will generally be an ex-Local Education Authority (LEA) school from one of the Fund's three employers with LEA status. Where this is the case: </w:t>
      </w:r>
    </w:p>
    <w:p w:rsidR="00F4667C" w:rsidRPr="00F4667C" w:rsidRDefault="009B1438" w:rsidP="00F4667C">
      <w:pPr>
        <w:spacing w:after="0" w:line="240" w:lineRule="auto"/>
        <w:jc w:val="both"/>
        <w:rPr>
          <w:szCs w:val="22"/>
        </w:rPr>
      </w:pPr>
    </w:p>
    <w:p w:rsidR="00F4667C" w:rsidRDefault="004129DC" w:rsidP="00F4667C">
      <w:pPr>
        <w:pStyle w:val="ListParagraph"/>
        <w:numPr>
          <w:ilvl w:val="0"/>
          <w:numId w:val="36"/>
        </w:numPr>
        <w:spacing w:after="0" w:line="240" w:lineRule="auto"/>
        <w:jc w:val="both"/>
        <w:rPr>
          <w:szCs w:val="22"/>
        </w:rPr>
      </w:pPr>
      <w:r w:rsidRPr="00F4667C">
        <w:rPr>
          <w:szCs w:val="22"/>
        </w:rPr>
        <w:t>The FSR will be set at the previous employer's existing FSR rate, which will app</w:t>
      </w:r>
      <w:r>
        <w:rPr>
          <w:szCs w:val="22"/>
        </w:rPr>
        <w:t>ly until the next valuation</w:t>
      </w:r>
      <w:r w:rsidRPr="00F4667C">
        <w:rPr>
          <w:szCs w:val="22"/>
        </w:rPr>
        <w:t xml:space="preserve">; </w:t>
      </w:r>
    </w:p>
    <w:p w:rsidR="00F4667C" w:rsidRDefault="009B1438" w:rsidP="00F4667C">
      <w:pPr>
        <w:pStyle w:val="ListParagraph"/>
        <w:spacing w:after="0" w:line="240" w:lineRule="auto"/>
        <w:jc w:val="both"/>
        <w:rPr>
          <w:szCs w:val="22"/>
        </w:rPr>
      </w:pPr>
    </w:p>
    <w:p w:rsidR="00F4667C" w:rsidRPr="00F4667C" w:rsidRDefault="004129DC" w:rsidP="00F4667C">
      <w:pPr>
        <w:pStyle w:val="ListParagraph"/>
        <w:numPr>
          <w:ilvl w:val="0"/>
          <w:numId w:val="36"/>
        </w:numPr>
        <w:spacing w:after="0" w:line="240" w:lineRule="auto"/>
        <w:jc w:val="both"/>
        <w:rPr>
          <w:szCs w:val="22"/>
        </w:rPr>
      </w:pPr>
      <w:r w:rsidRPr="00F4667C">
        <w:rPr>
          <w:szCs w:val="22"/>
        </w:rPr>
        <w:t>The opening deficit will be calculated using an actuarial model which allocates a share of the LEA's deficit</w:t>
      </w:r>
      <w:r>
        <w:rPr>
          <w:szCs w:val="22"/>
        </w:rPr>
        <w:t xml:space="preserve"> at the most recent valuation of the Fund</w:t>
      </w:r>
      <w:r w:rsidRPr="00F4667C">
        <w:rPr>
          <w:szCs w:val="22"/>
        </w:rPr>
        <w:t xml:space="preserve">. </w:t>
      </w:r>
    </w:p>
    <w:p w:rsidR="00F4667C" w:rsidRDefault="009B1438" w:rsidP="00F4667C">
      <w:pPr>
        <w:spacing w:after="0" w:line="240" w:lineRule="auto"/>
        <w:jc w:val="both"/>
        <w:rPr>
          <w:szCs w:val="22"/>
        </w:rPr>
      </w:pPr>
    </w:p>
    <w:p w:rsidR="00624A6A" w:rsidRDefault="004129DC" w:rsidP="00F4667C">
      <w:pPr>
        <w:spacing w:after="0" w:line="240" w:lineRule="auto"/>
        <w:jc w:val="both"/>
        <w:rPr>
          <w:szCs w:val="22"/>
        </w:rPr>
      </w:pPr>
      <w:r>
        <w:rPr>
          <w:szCs w:val="22"/>
        </w:rPr>
        <w:t>A</w:t>
      </w:r>
      <w:r w:rsidRPr="00F4667C">
        <w:rPr>
          <w:szCs w:val="22"/>
        </w:rPr>
        <w:t xml:space="preserve">t </w:t>
      </w:r>
      <w:r>
        <w:rPr>
          <w:szCs w:val="22"/>
        </w:rPr>
        <w:t xml:space="preserve">the next valuation </w:t>
      </w:r>
      <w:r w:rsidRPr="00F4667C">
        <w:rPr>
          <w:szCs w:val="22"/>
        </w:rPr>
        <w:t xml:space="preserve">a 'stand-alone' FSR </w:t>
      </w:r>
      <w:r>
        <w:rPr>
          <w:szCs w:val="22"/>
        </w:rPr>
        <w:t>and</w:t>
      </w:r>
      <w:r w:rsidRPr="00F4667C">
        <w:rPr>
          <w:szCs w:val="22"/>
        </w:rPr>
        <w:t xml:space="preserve"> deficit will be calculated by the Fund's actuary. The Fund's general deficit recovery </w:t>
      </w:r>
      <w:r w:rsidRPr="00B170E1">
        <w:rPr>
          <w:szCs w:val="22"/>
        </w:rPr>
        <w:t>policy</w:t>
      </w:r>
      <w:r w:rsidRPr="00F4667C">
        <w:rPr>
          <w:szCs w:val="22"/>
        </w:rPr>
        <w:t xml:space="preserve"> will be used to determine deficit payments, unless its risk management framework determines that a different period be applied, either at the academy creation stage or at subsequent triennial valuations</w:t>
      </w:r>
    </w:p>
    <w:p w:rsidR="00624A6A" w:rsidRPr="00F4667C" w:rsidRDefault="009B1438" w:rsidP="00F4667C">
      <w:pPr>
        <w:spacing w:after="0" w:line="240" w:lineRule="auto"/>
        <w:jc w:val="both"/>
        <w:rPr>
          <w:szCs w:val="22"/>
        </w:rPr>
      </w:pPr>
    </w:p>
    <w:p w:rsidR="00F4667C" w:rsidRDefault="004129DC" w:rsidP="00F4667C">
      <w:pPr>
        <w:spacing w:after="0" w:line="240" w:lineRule="auto"/>
        <w:jc w:val="both"/>
        <w:rPr>
          <w:szCs w:val="22"/>
        </w:rPr>
      </w:pPr>
      <w:r w:rsidRPr="00F4667C">
        <w:rPr>
          <w:szCs w:val="22"/>
        </w:rPr>
        <w:t xml:space="preserve">Where a new academy joins the Fund as an independent free school or via its status as part of a multi-academy Trust which is already a Fund employer, and where the pre-Academy status school was not the responsibility of either Lancashire County Council, Blackburn with Darwen Borough Council or Blackpool Borough Council, no opening deficit will </w:t>
      </w:r>
      <w:r>
        <w:rPr>
          <w:szCs w:val="22"/>
        </w:rPr>
        <w:t xml:space="preserve">typically </w:t>
      </w:r>
      <w:r w:rsidRPr="00F4667C">
        <w:rPr>
          <w:szCs w:val="22"/>
        </w:rPr>
        <w:t>be assigned. The FSR applied will initially match the LEA area in which multi academy trust o</w:t>
      </w:r>
      <w:r>
        <w:rPr>
          <w:szCs w:val="22"/>
        </w:rPr>
        <w:t>r</w:t>
      </w:r>
      <w:r w:rsidRPr="00F4667C">
        <w:rPr>
          <w:szCs w:val="22"/>
        </w:rPr>
        <w:t xml:space="preserve"> stand-alone free school is based. Any deficit arising at the next triennial valuation will be assigned to the new academy accordingly. </w:t>
      </w:r>
    </w:p>
    <w:p w:rsidR="00624A6A" w:rsidRPr="00F4667C" w:rsidRDefault="009B1438" w:rsidP="00F4667C">
      <w:pPr>
        <w:spacing w:after="0" w:line="240" w:lineRule="auto"/>
        <w:jc w:val="both"/>
        <w:rPr>
          <w:szCs w:val="22"/>
        </w:rPr>
      </w:pPr>
    </w:p>
    <w:p w:rsidR="00F4667C" w:rsidRPr="00F4667C" w:rsidRDefault="004129DC" w:rsidP="00F4667C">
      <w:pPr>
        <w:spacing w:after="0" w:line="240" w:lineRule="auto"/>
        <w:jc w:val="both"/>
        <w:rPr>
          <w:szCs w:val="22"/>
        </w:rPr>
      </w:pPr>
      <w:r w:rsidRPr="00F4667C">
        <w:rPr>
          <w:szCs w:val="22"/>
        </w:rPr>
        <w:t xml:space="preserve">Academies which were previously schools under an LEA outside of the three existing LCPF LEA employers will only be able to join LCPF if they join a MAT which is already a Fund employer. If an academy leaves one MAT and joins another which is not a LCPF employer, any deficit will be allocated to the previous MAT. </w:t>
      </w:r>
    </w:p>
    <w:p w:rsidR="00624A6A" w:rsidRDefault="009B1438" w:rsidP="00F4667C">
      <w:pPr>
        <w:spacing w:after="0" w:line="240" w:lineRule="auto"/>
        <w:jc w:val="both"/>
        <w:rPr>
          <w:szCs w:val="22"/>
        </w:rPr>
      </w:pPr>
    </w:p>
    <w:p w:rsidR="00F4667C" w:rsidRDefault="004129DC" w:rsidP="00F4667C">
      <w:pPr>
        <w:spacing w:after="0" w:line="240" w:lineRule="auto"/>
        <w:jc w:val="both"/>
        <w:rPr>
          <w:szCs w:val="22"/>
        </w:rPr>
      </w:pPr>
      <w:r w:rsidRPr="00F4667C">
        <w:rPr>
          <w:szCs w:val="22"/>
        </w:rPr>
        <w:t xml:space="preserve">Given that there are a growing number of academy chains (or multi academy trusts), which operate as single employers with common policies in regard to issues such as ill health and early </w:t>
      </w:r>
      <w:r w:rsidRPr="00F4667C">
        <w:rPr>
          <w:szCs w:val="22"/>
        </w:rPr>
        <w:lastRenderedPageBreak/>
        <w:t xml:space="preserve">retirement and common sets of employer discretions, the Fund will offer the option of pooling to academy chains as part of subsequent valuation exercises. </w:t>
      </w:r>
    </w:p>
    <w:p w:rsidR="00624A6A" w:rsidRDefault="009B1438" w:rsidP="00F4667C">
      <w:pPr>
        <w:spacing w:after="0" w:line="240" w:lineRule="auto"/>
        <w:jc w:val="both"/>
        <w:rPr>
          <w:szCs w:val="22"/>
        </w:rPr>
      </w:pPr>
    </w:p>
    <w:p w:rsidR="00624A6A" w:rsidRDefault="004129DC" w:rsidP="00624A6A">
      <w:pPr>
        <w:spacing w:after="0" w:line="240" w:lineRule="auto"/>
        <w:jc w:val="both"/>
        <w:rPr>
          <w:szCs w:val="22"/>
        </w:rPr>
      </w:pPr>
      <w:r w:rsidRPr="00F4667C">
        <w:rPr>
          <w:szCs w:val="22"/>
        </w:rPr>
        <w:t xml:space="preserve">The proforma provided by the Fund's actuary to establish the temporary rates will be updated following each valuation of the fund. </w:t>
      </w:r>
    </w:p>
    <w:p w:rsidR="00624A6A" w:rsidRDefault="009B1438" w:rsidP="00F4667C">
      <w:pPr>
        <w:spacing w:after="0" w:line="240" w:lineRule="auto"/>
        <w:jc w:val="both"/>
        <w:rPr>
          <w:szCs w:val="22"/>
        </w:rPr>
      </w:pPr>
    </w:p>
    <w:p w:rsidR="00F4667C" w:rsidRPr="00F4667C" w:rsidRDefault="004129DC" w:rsidP="00624A6A">
      <w:pPr>
        <w:pStyle w:val="Heading10"/>
        <w:rPr>
          <w:i/>
        </w:rPr>
      </w:pPr>
      <w:r w:rsidRPr="00F4667C">
        <w:rPr>
          <w:i/>
        </w:rPr>
        <w:t>2</w:t>
      </w:r>
      <w:r>
        <w:rPr>
          <w:i/>
        </w:rPr>
        <w:t xml:space="preserve"> –</w:t>
      </w:r>
      <w:r w:rsidRPr="00F4667C">
        <w:rPr>
          <w:i/>
        </w:rPr>
        <w:t xml:space="preserve"> Parish or Town Councils </w:t>
      </w:r>
    </w:p>
    <w:p w:rsidR="00624A6A" w:rsidRDefault="009B1438" w:rsidP="00F4667C">
      <w:pPr>
        <w:spacing w:after="0" w:line="240" w:lineRule="auto"/>
        <w:jc w:val="both"/>
        <w:rPr>
          <w:szCs w:val="22"/>
        </w:rPr>
      </w:pPr>
    </w:p>
    <w:p w:rsidR="00624A6A" w:rsidRDefault="004129DC" w:rsidP="00F4667C">
      <w:pPr>
        <w:spacing w:after="0" w:line="240" w:lineRule="auto"/>
        <w:jc w:val="both"/>
        <w:rPr>
          <w:szCs w:val="22"/>
        </w:rPr>
      </w:pPr>
      <w:r w:rsidRPr="00F4667C">
        <w:rPr>
          <w:szCs w:val="22"/>
        </w:rPr>
        <w:t xml:space="preserve">Temporary contribution rates are used based on the </w:t>
      </w:r>
      <w:r>
        <w:rPr>
          <w:szCs w:val="22"/>
        </w:rPr>
        <w:t xml:space="preserve">most recent valuation funding </w:t>
      </w:r>
      <w:r w:rsidRPr="00F4667C">
        <w:rPr>
          <w:szCs w:val="22"/>
        </w:rPr>
        <w:t xml:space="preserve">assumptions and the average age of member/s involved. The factors cover future service only, and so assume that the employer is fully funded on admission. If this is not the case then cases are referred to the Fund's actuary for assessment. </w:t>
      </w:r>
    </w:p>
    <w:p w:rsidR="00624A6A" w:rsidRDefault="009B1438" w:rsidP="00F4667C">
      <w:pPr>
        <w:spacing w:after="0" w:line="240" w:lineRule="auto"/>
        <w:jc w:val="both"/>
        <w:rPr>
          <w:szCs w:val="22"/>
        </w:rPr>
      </w:pPr>
    </w:p>
    <w:p w:rsidR="00F4667C" w:rsidRPr="00F4667C" w:rsidRDefault="004129DC" w:rsidP="00624A6A">
      <w:pPr>
        <w:spacing w:after="0" w:line="240" w:lineRule="auto"/>
        <w:jc w:val="both"/>
        <w:rPr>
          <w:szCs w:val="22"/>
        </w:rPr>
      </w:pPr>
      <w:r w:rsidRPr="00F4667C">
        <w:rPr>
          <w:szCs w:val="22"/>
        </w:rPr>
        <w:t xml:space="preserve">Similarly cases will also be referred to the scheme actuary if any member has an earlier period of LGPS service which they wish to link to service with the Parish or Town Council or, additionally, where exceptional circumstances are identified. </w:t>
      </w:r>
    </w:p>
    <w:p w:rsidR="00F4667C" w:rsidRPr="00F4667C" w:rsidRDefault="009B1438" w:rsidP="00F4667C">
      <w:pPr>
        <w:spacing w:after="0" w:line="240" w:lineRule="auto"/>
        <w:jc w:val="both"/>
        <w:rPr>
          <w:szCs w:val="22"/>
        </w:rPr>
      </w:pPr>
    </w:p>
    <w:p w:rsidR="00F4667C" w:rsidRDefault="004129DC" w:rsidP="00F4667C">
      <w:pPr>
        <w:spacing w:after="0" w:line="240" w:lineRule="auto"/>
        <w:jc w:val="both"/>
        <w:rPr>
          <w:szCs w:val="22"/>
        </w:rPr>
      </w:pPr>
      <w:r w:rsidRPr="00F4667C">
        <w:rPr>
          <w:szCs w:val="22"/>
        </w:rPr>
        <w:t xml:space="preserve">The temporary FSR will apply until the next valuation, at which stage a 'stand-alone' FSR for the Parish or Town Council will be calculated by the Fund's actuary. </w:t>
      </w:r>
    </w:p>
    <w:p w:rsidR="00624A6A" w:rsidRPr="00F4667C" w:rsidRDefault="009B1438" w:rsidP="00F4667C">
      <w:pPr>
        <w:spacing w:after="0" w:line="240" w:lineRule="auto"/>
        <w:jc w:val="both"/>
        <w:rPr>
          <w:szCs w:val="22"/>
        </w:rPr>
      </w:pPr>
    </w:p>
    <w:p w:rsidR="00F4667C" w:rsidRDefault="004129DC" w:rsidP="00F4667C">
      <w:pPr>
        <w:spacing w:after="0" w:line="240" w:lineRule="auto"/>
        <w:jc w:val="both"/>
        <w:rPr>
          <w:szCs w:val="22"/>
        </w:rPr>
      </w:pPr>
      <w:r w:rsidRPr="00F4667C">
        <w:rPr>
          <w:szCs w:val="22"/>
        </w:rPr>
        <w:t xml:space="preserve">The proforma provided by the Fund's actuary to establish the temporary rates will be updated following each valuation of the fund. </w:t>
      </w:r>
    </w:p>
    <w:p w:rsidR="00624A6A" w:rsidRDefault="009B1438" w:rsidP="00F4667C">
      <w:pPr>
        <w:spacing w:after="0" w:line="240" w:lineRule="auto"/>
        <w:jc w:val="both"/>
        <w:rPr>
          <w:szCs w:val="22"/>
        </w:rPr>
      </w:pPr>
    </w:p>
    <w:p w:rsidR="00F4667C" w:rsidRDefault="004129DC" w:rsidP="00624A6A">
      <w:pPr>
        <w:pStyle w:val="Heading10"/>
        <w:rPr>
          <w:i/>
        </w:rPr>
      </w:pPr>
      <w:r w:rsidRPr="00F4667C">
        <w:rPr>
          <w:i/>
        </w:rPr>
        <w:t>3</w:t>
      </w:r>
      <w:r>
        <w:rPr>
          <w:i/>
        </w:rPr>
        <w:t xml:space="preserve"> –</w:t>
      </w:r>
      <w:r w:rsidRPr="003003BA">
        <w:rPr>
          <w:i/>
        </w:rPr>
        <w:t xml:space="preserve">Prospective admission bodies falling under Schedule 2 Part 3 </w:t>
      </w:r>
      <w:r>
        <w:rPr>
          <w:i/>
        </w:rPr>
        <w:t xml:space="preserve">PARA </w:t>
      </w:r>
      <w:r w:rsidRPr="003003BA">
        <w:rPr>
          <w:i/>
        </w:rPr>
        <w:t>1 (d) (i) (formerly known as Transferee Admission Bodies)</w:t>
      </w:r>
    </w:p>
    <w:p w:rsidR="00624A6A" w:rsidRDefault="009B1438" w:rsidP="00F4667C">
      <w:pPr>
        <w:spacing w:after="0" w:line="240" w:lineRule="auto"/>
        <w:jc w:val="both"/>
        <w:rPr>
          <w:szCs w:val="22"/>
        </w:rPr>
      </w:pPr>
    </w:p>
    <w:p w:rsidR="00624A6A" w:rsidRDefault="004129DC" w:rsidP="00624A6A">
      <w:pPr>
        <w:spacing w:after="0" w:line="240" w:lineRule="auto"/>
        <w:jc w:val="both"/>
        <w:rPr>
          <w:szCs w:val="22"/>
        </w:rPr>
      </w:pPr>
      <w:r w:rsidRPr="00F4667C">
        <w:rPr>
          <w:szCs w:val="22"/>
        </w:rPr>
        <w:t xml:space="preserve">Admission agreements for bodies relating to organisations that have taken on work on behalf of a scheme employer by means of a contract, will have an opening FSR matching the transferring employer's FSR, where the criteria set out below </w:t>
      </w:r>
      <w:r>
        <w:rPr>
          <w:szCs w:val="22"/>
        </w:rPr>
        <w:t>are</w:t>
      </w:r>
      <w:r w:rsidRPr="00F4667C">
        <w:rPr>
          <w:szCs w:val="22"/>
        </w:rPr>
        <w:t xml:space="preserve"> met</w:t>
      </w:r>
      <w:r>
        <w:rPr>
          <w:szCs w:val="22"/>
        </w:rPr>
        <w:t>:</w:t>
      </w:r>
    </w:p>
    <w:p w:rsidR="00F4667C" w:rsidRPr="00F4667C" w:rsidRDefault="004129DC" w:rsidP="00624A6A">
      <w:pPr>
        <w:spacing w:after="0" w:line="240" w:lineRule="auto"/>
        <w:jc w:val="both"/>
        <w:rPr>
          <w:szCs w:val="22"/>
        </w:rPr>
      </w:pPr>
      <w:r w:rsidRPr="00F4667C">
        <w:rPr>
          <w:szCs w:val="22"/>
        </w:rPr>
        <w:t xml:space="preserve"> </w:t>
      </w:r>
    </w:p>
    <w:p w:rsidR="00624A6A" w:rsidRDefault="004129DC" w:rsidP="00F4667C">
      <w:pPr>
        <w:pStyle w:val="ListParagraph"/>
        <w:numPr>
          <w:ilvl w:val="0"/>
          <w:numId w:val="36"/>
        </w:numPr>
        <w:spacing w:after="0" w:line="240" w:lineRule="auto"/>
        <w:jc w:val="both"/>
        <w:rPr>
          <w:szCs w:val="22"/>
        </w:rPr>
      </w:pPr>
      <w:r w:rsidRPr="00624A6A">
        <w:rPr>
          <w:szCs w:val="22"/>
        </w:rPr>
        <w:t xml:space="preserve">The admission body is fully funded at the outset </w:t>
      </w:r>
    </w:p>
    <w:p w:rsidR="00624A6A" w:rsidRDefault="004129DC" w:rsidP="00F4667C">
      <w:pPr>
        <w:pStyle w:val="ListParagraph"/>
        <w:numPr>
          <w:ilvl w:val="0"/>
          <w:numId w:val="36"/>
        </w:numPr>
        <w:spacing w:after="0" w:line="240" w:lineRule="auto"/>
        <w:jc w:val="both"/>
        <w:rPr>
          <w:szCs w:val="22"/>
        </w:rPr>
      </w:pPr>
      <w:r w:rsidRPr="00F4667C">
        <w:rPr>
          <w:szCs w:val="22"/>
        </w:rPr>
        <w:t xml:space="preserve">The number of transferring pensionable employees is less than 2% of the transferring employer's payroll </w:t>
      </w:r>
    </w:p>
    <w:p w:rsidR="00624A6A" w:rsidRDefault="004129DC" w:rsidP="00F4667C">
      <w:pPr>
        <w:pStyle w:val="ListParagraph"/>
        <w:numPr>
          <w:ilvl w:val="0"/>
          <w:numId w:val="36"/>
        </w:numPr>
        <w:spacing w:after="0" w:line="240" w:lineRule="auto"/>
        <w:jc w:val="both"/>
        <w:rPr>
          <w:szCs w:val="22"/>
        </w:rPr>
      </w:pPr>
      <w:r w:rsidRPr="00F4667C">
        <w:rPr>
          <w:szCs w:val="22"/>
        </w:rPr>
        <w:t xml:space="preserve">The number of transferring pensionable employees is less than 20 </w:t>
      </w:r>
    </w:p>
    <w:p w:rsidR="00F4667C" w:rsidRPr="00F4667C" w:rsidRDefault="004129DC" w:rsidP="00F4667C">
      <w:pPr>
        <w:pStyle w:val="ListParagraph"/>
        <w:numPr>
          <w:ilvl w:val="0"/>
          <w:numId w:val="36"/>
        </w:numPr>
        <w:spacing w:after="0" w:line="240" w:lineRule="auto"/>
        <w:jc w:val="both"/>
        <w:rPr>
          <w:szCs w:val="22"/>
        </w:rPr>
      </w:pPr>
      <w:r w:rsidRPr="00F4667C">
        <w:rPr>
          <w:szCs w:val="22"/>
        </w:rPr>
        <w:t xml:space="preserve">The contract length is limited to a maximum of 5 years </w:t>
      </w:r>
    </w:p>
    <w:p w:rsidR="00F4667C" w:rsidRDefault="009B1438" w:rsidP="00F4667C">
      <w:pPr>
        <w:spacing w:after="0" w:line="240" w:lineRule="auto"/>
        <w:jc w:val="both"/>
        <w:rPr>
          <w:szCs w:val="22"/>
        </w:rPr>
      </w:pPr>
    </w:p>
    <w:p w:rsidR="00624A6A" w:rsidRDefault="004129DC" w:rsidP="00624A6A">
      <w:pPr>
        <w:spacing w:after="0" w:line="240" w:lineRule="auto"/>
        <w:jc w:val="both"/>
        <w:rPr>
          <w:szCs w:val="22"/>
        </w:rPr>
      </w:pPr>
      <w:r>
        <w:rPr>
          <w:szCs w:val="22"/>
        </w:rPr>
        <w:t xml:space="preserve">Under these circumstances the </w:t>
      </w:r>
      <w:r w:rsidRPr="00F4667C">
        <w:rPr>
          <w:szCs w:val="22"/>
        </w:rPr>
        <w:t xml:space="preserve">FSR used throughout the lifetime of the contract will </w:t>
      </w:r>
      <w:r>
        <w:rPr>
          <w:szCs w:val="22"/>
        </w:rPr>
        <w:t xml:space="preserve">match that of </w:t>
      </w:r>
      <w:r w:rsidRPr="00F4667C">
        <w:rPr>
          <w:szCs w:val="22"/>
        </w:rPr>
        <w:t xml:space="preserve">the </w:t>
      </w:r>
      <w:r>
        <w:rPr>
          <w:szCs w:val="22"/>
        </w:rPr>
        <w:t xml:space="preserve">original transferring employer (including any changes following </w:t>
      </w:r>
      <w:r w:rsidRPr="00F4667C">
        <w:rPr>
          <w:szCs w:val="22"/>
        </w:rPr>
        <w:t>triennial valuations</w:t>
      </w:r>
      <w:r>
        <w:rPr>
          <w:szCs w:val="22"/>
        </w:rPr>
        <w:t>)</w:t>
      </w:r>
      <w:r w:rsidRPr="00F4667C">
        <w:rPr>
          <w:szCs w:val="22"/>
        </w:rPr>
        <w:t xml:space="preserve">. </w:t>
      </w:r>
    </w:p>
    <w:p w:rsidR="00624A6A" w:rsidRPr="00F4667C" w:rsidRDefault="009B1438" w:rsidP="00624A6A">
      <w:pPr>
        <w:spacing w:after="0" w:line="240" w:lineRule="auto"/>
        <w:jc w:val="both"/>
        <w:rPr>
          <w:szCs w:val="22"/>
        </w:rPr>
      </w:pPr>
    </w:p>
    <w:p w:rsidR="00624A6A" w:rsidRPr="00F4667C" w:rsidRDefault="004129DC" w:rsidP="00624A6A">
      <w:pPr>
        <w:spacing w:after="0" w:line="240" w:lineRule="auto"/>
        <w:jc w:val="both"/>
        <w:rPr>
          <w:szCs w:val="22"/>
        </w:rPr>
      </w:pPr>
      <w:r w:rsidRPr="00F4667C">
        <w:rPr>
          <w:szCs w:val="22"/>
        </w:rPr>
        <w:t xml:space="preserve">Under this approach the original transferring employer assumes the assets and liabilities at the end of the contract without a termination calculation being carried out. This principle also applies where a contract is re-let to either an incumbent or new contractor. </w:t>
      </w:r>
    </w:p>
    <w:p w:rsidR="00624A6A" w:rsidRDefault="009B1438" w:rsidP="00F4667C">
      <w:pPr>
        <w:spacing w:after="0" w:line="240" w:lineRule="auto"/>
        <w:jc w:val="both"/>
        <w:rPr>
          <w:szCs w:val="22"/>
        </w:rPr>
      </w:pPr>
    </w:p>
    <w:p w:rsidR="00F4667C" w:rsidRPr="00F4667C" w:rsidRDefault="004129DC" w:rsidP="00F4667C">
      <w:pPr>
        <w:spacing w:after="0" w:line="240" w:lineRule="auto"/>
        <w:jc w:val="both"/>
        <w:rPr>
          <w:szCs w:val="22"/>
        </w:rPr>
      </w:pPr>
      <w:r w:rsidRPr="00F4667C">
        <w:rPr>
          <w:szCs w:val="22"/>
        </w:rPr>
        <w:t>Where the above criteria are not met, then, at the point of admission, the FSR w</w:t>
      </w:r>
      <w:r>
        <w:rPr>
          <w:szCs w:val="22"/>
        </w:rPr>
        <w:t xml:space="preserve">ill be set by the Fund actuary, and reassessed at each following valuation.  </w:t>
      </w:r>
      <w:r w:rsidRPr="00F4667C">
        <w:rPr>
          <w:szCs w:val="22"/>
        </w:rPr>
        <w:t xml:space="preserve">At the end of the contract any identified deficit will be recovered from the out-going admission body. If this cannot be recovered from the admission body, or a surplus position exists, then this will be absorbed by the original transferring employer. This principle also applies where a contract is re-let to either an incumbent or new contractor. </w:t>
      </w:r>
    </w:p>
    <w:p w:rsidR="00624A6A" w:rsidRDefault="009B1438" w:rsidP="00F4667C">
      <w:pPr>
        <w:spacing w:after="0" w:line="240" w:lineRule="auto"/>
        <w:jc w:val="both"/>
        <w:rPr>
          <w:szCs w:val="22"/>
        </w:rPr>
      </w:pPr>
    </w:p>
    <w:p w:rsidR="00E71900" w:rsidRDefault="004129DC" w:rsidP="003003BA">
      <w:pPr>
        <w:spacing w:after="0" w:line="240" w:lineRule="auto"/>
        <w:jc w:val="both"/>
        <w:rPr>
          <w:szCs w:val="22"/>
        </w:rPr>
      </w:pPr>
      <w:r w:rsidRPr="00F4667C">
        <w:rPr>
          <w:szCs w:val="22"/>
        </w:rPr>
        <w:t>Transferring employers will be able to propose the use of other models, any security arrangements or termination deficit calculations</w:t>
      </w:r>
      <w:r>
        <w:rPr>
          <w:szCs w:val="22"/>
        </w:rPr>
        <w:t xml:space="preserve">.  However </w:t>
      </w:r>
      <w:r w:rsidRPr="00F4667C">
        <w:rPr>
          <w:szCs w:val="22"/>
        </w:rPr>
        <w:t xml:space="preserve">the Fund will not instigate discussion around such and will assume the transferring employer accepts the </w:t>
      </w:r>
      <w:r>
        <w:rPr>
          <w:szCs w:val="22"/>
        </w:rPr>
        <w:t>above approach</w:t>
      </w:r>
      <w:r w:rsidRPr="00F4667C">
        <w:rPr>
          <w:szCs w:val="22"/>
        </w:rPr>
        <w:t xml:space="preserve"> unless </w:t>
      </w:r>
      <w:r>
        <w:rPr>
          <w:szCs w:val="22"/>
        </w:rPr>
        <w:t>stated</w:t>
      </w:r>
      <w:r w:rsidRPr="00F4667C">
        <w:rPr>
          <w:szCs w:val="22"/>
        </w:rPr>
        <w:t xml:space="preserve"> otherwise. Where </w:t>
      </w:r>
      <w:r>
        <w:rPr>
          <w:szCs w:val="22"/>
        </w:rPr>
        <w:t xml:space="preserve">the </w:t>
      </w:r>
      <w:r w:rsidRPr="00F4667C">
        <w:rPr>
          <w:szCs w:val="22"/>
        </w:rPr>
        <w:t>transferring employer deviate</w:t>
      </w:r>
      <w:r>
        <w:rPr>
          <w:szCs w:val="22"/>
        </w:rPr>
        <w:t>s</w:t>
      </w:r>
      <w:r w:rsidRPr="00F4667C">
        <w:rPr>
          <w:szCs w:val="22"/>
        </w:rPr>
        <w:t xml:space="preserve"> from the </w:t>
      </w:r>
      <w:r>
        <w:rPr>
          <w:szCs w:val="22"/>
        </w:rPr>
        <w:t xml:space="preserve">standard approach </w:t>
      </w:r>
      <w:r w:rsidRPr="00F4667C">
        <w:rPr>
          <w:szCs w:val="22"/>
        </w:rPr>
        <w:t xml:space="preserve">additional costs </w:t>
      </w:r>
      <w:r>
        <w:rPr>
          <w:szCs w:val="22"/>
        </w:rPr>
        <w:t xml:space="preserve">will be </w:t>
      </w:r>
      <w:r w:rsidRPr="00F4667C">
        <w:rPr>
          <w:szCs w:val="22"/>
        </w:rPr>
        <w:t xml:space="preserve">incurred. </w:t>
      </w:r>
    </w:p>
    <w:p w:rsidR="00E71900" w:rsidRDefault="004129DC">
      <w:pPr>
        <w:spacing w:after="0" w:line="240" w:lineRule="auto"/>
        <w:rPr>
          <w:szCs w:val="22"/>
        </w:rPr>
      </w:pPr>
      <w:r>
        <w:rPr>
          <w:szCs w:val="22"/>
        </w:rPr>
        <w:br w:type="page"/>
      </w:r>
    </w:p>
    <w:p w:rsidR="007C5733" w:rsidRPr="006F3777" w:rsidRDefault="004129DC" w:rsidP="00DD59EF">
      <w:pPr>
        <w:pStyle w:val="Heading10"/>
        <w:rPr>
          <w:b/>
        </w:rPr>
      </w:pPr>
      <w:r>
        <w:rPr>
          <w:b/>
        </w:rPr>
        <w:lastRenderedPageBreak/>
        <w:t xml:space="preserve">C - </w:t>
      </w:r>
      <w:r w:rsidRPr="006F3777">
        <w:rPr>
          <w:b/>
        </w:rPr>
        <w:t>exiting the fund</w:t>
      </w:r>
    </w:p>
    <w:p w:rsidR="007C5733" w:rsidRDefault="009B1438" w:rsidP="007C5733">
      <w:pPr>
        <w:pStyle w:val="Heading10"/>
        <w:rPr>
          <w:b/>
          <w:color w:val="993366"/>
          <w:sz w:val="24"/>
        </w:rPr>
      </w:pPr>
    </w:p>
    <w:p w:rsidR="007C5733" w:rsidRPr="00DD59EF" w:rsidRDefault="004129DC" w:rsidP="00DD59EF">
      <w:pPr>
        <w:pStyle w:val="Heading10"/>
      </w:pPr>
      <w:r>
        <w:t>background</w:t>
      </w:r>
    </w:p>
    <w:p w:rsidR="007C5733" w:rsidRDefault="009B1438" w:rsidP="007C5733">
      <w:pPr>
        <w:spacing w:after="0" w:line="240" w:lineRule="auto"/>
        <w:jc w:val="both"/>
        <w:rPr>
          <w:rFonts w:cs="Arial"/>
          <w:color w:val="auto"/>
        </w:rPr>
      </w:pPr>
    </w:p>
    <w:p w:rsidR="003003BA" w:rsidRPr="003003BA" w:rsidRDefault="004129DC" w:rsidP="003003BA">
      <w:pPr>
        <w:autoSpaceDE w:val="0"/>
        <w:autoSpaceDN w:val="0"/>
        <w:adjustRightInd w:val="0"/>
        <w:spacing w:after="0" w:line="240" w:lineRule="auto"/>
        <w:rPr>
          <w:szCs w:val="22"/>
        </w:rPr>
      </w:pPr>
      <w:r w:rsidRPr="003003BA">
        <w:rPr>
          <w:szCs w:val="22"/>
        </w:rPr>
        <w:t xml:space="preserve">Lancashire County Pension Fund must obtain an actuarial assessment showing the exit payment due when a body ceases to be a scheme employer or no longer has any active members. That body is liable for the exit payment. This applies equally to all scheme employers participating in the fund, regardless of whether an admission agreement is in place. The purpose of the exit payment is to ensure all future liabilities arising from the exiting employer's members are met by the employer at the time of exit. </w:t>
      </w:r>
    </w:p>
    <w:p w:rsidR="003003BA" w:rsidRDefault="009B1438" w:rsidP="003003BA">
      <w:pPr>
        <w:autoSpaceDE w:val="0"/>
        <w:autoSpaceDN w:val="0"/>
        <w:adjustRightInd w:val="0"/>
        <w:spacing w:after="0" w:line="240" w:lineRule="auto"/>
        <w:rPr>
          <w:szCs w:val="22"/>
        </w:rPr>
      </w:pPr>
    </w:p>
    <w:p w:rsidR="003003BA" w:rsidRPr="003003BA" w:rsidRDefault="004129DC" w:rsidP="003003BA">
      <w:pPr>
        <w:autoSpaceDE w:val="0"/>
        <w:autoSpaceDN w:val="0"/>
        <w:adjustRightInd w:val="0"/>
        <w:spacing w:after="0" w:line="240" w:lineRule="auto"/>
        <w:rPr>
          <w:szCs w:val="22"/>
        </w:rPr>
      </w:pPr>
      <w:r w:rsidRPr="003003BA">
        <w:rPr>
          <w:szCs w:val="22"/>
        </w:rPr>
        <w:t xml:space="preserve">In the event that these liabilities cannot be recovered from the exiting employer then these liabilities will normally fall to be met by the Fund as a whole (i.e. all scheme employers) unless there is a guarantor or successor body within the Fund. </w:t>
      </w:r>
    </w:p>
    <w:p w:rsidR="003003BA" w:rsidRDefault="009B1438" w:rsidP="003003BA">
      <w:pPr>
        <w:spacing w:after="0" w:line="240" w:lineRule="auto"/>
        <w:jc w:val="both"/>
        <w:rPr>
          <w:szCs w:val="22"/>
        </w:rPr>
      </w:pPr>
    </w:p>
    <w:p w:rsidR="007C5733" w:rsidRDefault="004129DC" w:rsidP="003003BA">
      <w:pPr>
        <w:spacing w:after="0" w:line="240" w:lineRule="auto"/>
        <w:jc w:val="both"/>
        <w:rPr>
          <w:i/>
          <w:szCs w:val="22"/>
        </w:rPr>
      </w:pPr>
      <w:r w:rsidRPr="003003BA">
        <w:rPr>
          <w:i/>
          <w:szCs w:val="22"/>
        </w:rPr>
        <w:t>Regulation reference: Regulation 64 of the Local Government Pension Scheme Regulations 2013/2356;</w:t>
      </w:r>
    </w:p>
    <w:p w:rsidR="003003BA" w:rsidRPr="003003BA" w:rsidRDefault="009B1438" w:rsidP="003003BA">
      <w:pPr>
        <w:spacing w:after="0" w:line="240" w:lineRule="auto"/>
        <w:jc w:val="both"/>
        <w:rPr>
          <w:i/>
          <w:szCs w:val="22"/>
        </w:rPr>
      </w:pPr>
    </w:p>
    <w:p w:rsidR="003845C9" w:rsidRPr="00DD59EF" w:rsidRDefault="004129DC" w:rsidP="003845C9">
      <w:pPr>
        <w:pStyle w:val="Heading10"/>
      </w:pPr>
      <w:r>
        <w:t>PolicY statement</w:t>
      </w:r>
    </w:p>
    <w:p w:rsidR="003845C9" w:rsidRDefault="009B1438" w:rsidP="007C5733">
      <w:pPr>
        <w:spacing w:after="0" w:line="240" w:lineRule="auto"/>
        <w:jc w:val="both"/>
        <w:rPr>
          <w:szCs w:val="22"/>
        </w:rPr>
      </w:pPr>
    </w:p>
    <w:p w:rsidR="003003BA" w:rsidRPr="003003BA" w:rsidRDefault="004129DC" w:rsidP="003003BA">
      <w:pPr>
        <w:autoSpaceDE w:val="0"/>
        <w:autoSpaceDN w:val="0"/>
        <w:adjustRightInd w:val="0"/>
        <w:spacing w:after="0" w:line="240" w:lineRule="auto"/>
        <w:rPr>
          <w:szCs w:val="22"/>
        </w:rPr>
      </w:pPr>
      <w:r w:rsidRPr="003003BA">
        <w:rPr>
          <w:szCs w:val="22"/>
        </w:rPr>
        <w:t>A termination assessment will always be carried out for bodies who cease to be a scheme employer within Lancashire County Pension Fund, the actuarial cost of which will be charged to the outgoing scheme employer, together with any other related costs of the termination. The exception to this will be those admission bodies where it is agree</w:t>
      </w:r>
      <w:r>
        <w:rPr>
          <w:szCs w:val="22"/>
        </w:rPr>
        <w:t>d</w:t>
      </w:r>
      <w:r w:rsidRPr="003003BA">
        <w:rPr>
          <w:szCs w:val="22"/>
        </w:rPr>
        <w:t xml:space="preserve"> that liabilities will be subsumed by the relevant transferring scheme employer as detailed in part B of this policy statement. </w:t>
      </w:r>
    </w:p>
    <w:p w:rsidR="00E71900" w:rsidRDefault="009B1438" w:rsidP="003003BA">
      <w:pPr>
        <w:autoSpaceDE w:val="0"/>
        <w:autoSpaceDN w:val="0"/>
        <w:adjustRightInd w:val="0"/>
        <w:spacing w:after="0" w:line="240" w:lineRule="auto"/>
        <w:rPr>
          <w:szCs w:val="22"/>
        </w:rPr>
      </w:pPr>
    </w:p>
    <w:p w:rsidR="003003BA" w:rsidRPr="003003BA" w:rsidRDefault="004129DC" w:rsidP="003003BA">
      <w:pPr>
        <w:autoSpaceDE w:val="0"/>
        <w:autoSpaceDN w:val="0"/>
        <w:adjustRightInd w:val="0"/>
        <w:spacing w:after="0" w:line="240" w:lineRule="auto"/>
        <w:rPr>
          <w:szCs w:val="22"/>
        </w:rPr>
      </w:pPr>
      <w:r w:rsidRPr="003003BA">
        <w:rPr>
          <w:szCs w:val="22"/>
        </w:rPr>
        <w:t xml:space="preserve">Treatment of assets and liabilities at termination will be as follows: </w:t>
      </w:r>
    </w:p>
    <w:p w:rsidR="00E71900" w:rsidRDefault="009B1438" w:rsidP="003003BA">
      <w:pPr>
        <w:autoSpaceDE w:val="0"/>
        <w:autoSpaceDN w:val="0"/>
        <w:adjustRightInd w:val="0"/>
        <w:spacing w:after="0" w:line="240" w:lineRule="auto"/>
        <w:rPr>
          <w:szCs w:val="22"/>
        </w:rPr>
      </w:pPr>
    </w:p>
    <w:p w:rsidR="003003BA" w:rsidRPr="00DF0E24" w:rsidRDefault="004129DC" w:rsidP="00DF0E24">
      <w:pPr>
        <w:pStyle w:val="ListParagraph"/>
        <w:numPr>
          <w:ilvl w:val="0"/>
          <w:numId w:val="44"/>
        </w:numPr>
        <w:autoSpaceDE w:val="0"/>
        <w:autoSpaceDN w:val="0"/>
        <w:adjustRightInd w:val="0"/>
        <w:spacing w:after="0" w:line="240" w:lineRule="auto"/>
        <w:rPr>
          <w:szCs w:val="22"/>
        </w:rPr>
      </w:pPr>
      <w:r w:rsidRPr="00DF0E24">
        <w:rPr>
          <w:szCs w:val="22"/>
        </w:rPr>
        <w:t xml:space="preserve">Where a guarantor is in place, all assets, liabilities and any funding deficit (not recovered from the outgoing body) will be subsumed by that guarantor being that they will also be a scheme employer within the Fund. </w:t>
      </w:r>
    </w:p>
    <w:p w:rsidR="00E71900" w:rsidRDefault="009B1438" w:rsidP="003003BA">
      <w:pPr>
        <w:autoSpaceDE w:val="0"/>
        <w:autoSpaceDN w:val="0"/>
        <w:adjustRightInd w:val="0"/>
        <w:spacing w:after="0" w:line="240" w:lineRule="auto"/>
        <w:rPr>
          <w:szCs w:val="22"/>
        </w:rPr>
      </w:pPr>
    </w:p>
    <w:p w:rsidR="003003BA" w:rsidRPr="005C44A5" w:rsidRDefault="004129DC" w:rsidP="005C44A5">
      <w:pPr>
        <w:pStyle w:val="ListParagraph"/>
        <w:numPr>
          <w:ilvl w:val="0"/>
          <w:numId w:val="44"/>
        </w:numPr>
        <w:autoSpaceDE w:val="0"/>
        <w:autoSpaceDN w:val="0"/>
        <w:adjustRightInd w:val="0"/>
        <w:spacing w:after="0" w:line="240" w:lineRule="auto"/>
        <w:rPr>
          <w:szCs w:val="22"/>
        </w:rPr>
      </w:pPr>
      <w:r w:rsidRPr="005C44A5">
        <w:rPr>
          <w:szCs w:val="22"/>
        </w:rPr>
        <w:t xml:space="preserve">If there are surpluses at termination then these will be subsumed by the Fund, unless the admission body exists under the criteria set out in Schedule 2 Part 3 </w:t>
      </w:r>
      <w:r>
        <w:rPr>
          <w:szCs w:val="22"/>
        </w:rPr>
        <w:t xml:space="preserve">para </w:t>
      </w:r>
      <w:r w:rsidRPr="005C44A5">
        <w:rPr>
          <w:szCs w:val="22"/>
        </w:rPr>
        <w:t xml:space="preserve">1 (d) (i) relating to organisations that have taken on work on behalf of a scheme employer by means of a contract, in which case on termination, any 'orphan' liabilities and the related assets in the Fund will be subsumed by the relevant scheme employer. </w:t>
      </w:r>
    </w:p>
    <w:p w:rsidR="00E71900" w:rsidRDefault="009B1438" w:rsidP="003003BA">
      <w:pPr>
        <w:autoSpaceDE w:val="0"/>
        <w:autoSpaceDN w:val="0"/>
        <w:adjustRightInd w:val="0"/>
        <w:spacing w:after="0" w:line="240" w:lineRule="auto"/>
        <w:rPr>
          <w:szCs w:val="22"/>
        </w:rPr>
      </w:pPr>
    </w:p>
    <w:p w:rsidR="003003BA" w:rsidRPr="005C44A5" w:rsidRDefault="004129DC" w:rsidP="005C44A5">
      <w:pPr>
        <w:pStyle w:val="ListParagraph"/>
        <w:numPr>
          <w:ilvl w:val="0"/>
          <w:numId w:val="44"/>
        </w:numPr>
        <w:autoSpaceDE w:val="0"/>
        <w:autoSpaceDN w:val="0"/>
        <w:adjustRightInd w:val="0"/>
        <w:spacing w:after="0" w:line="240" w:lineRule="auto"/>
        <w:rPr>
          <w:szCs w:val="22"/>
        </w:rPr>
      </w:pPr>
      <w:r w:rsidRPr="005C44A5">
        <w:rPr>
          <w:szCs w:val="22"/>
        </w:rPr>
        <w:t xml:space="preserve">If there are potential liabilities that cannot be recovered from the outgoing employer and a bond or other form of security is in place, then the amount of those liabilities will be recovered from the bond/security. </w:t>
      </w:r>
    </w:p>
    <w:p w:rsidR="00E71900" w:rsidRDefault="009B1438" w:rsidP="00E71900">
      <w:pPr>
        <w:autoSpaceDE w:val="0"/>
        <w:autoSpaceDN w:val="0"/>
        <w:adjustRightInd w:val="0"/>
        <w:spacing w:after="0" w:line="240" w:lineRule="auto"/>
        <w:rPr>
          <w:szCs w:val="22"/>
        </w:rPr>
      </w:pPr>
    </w:p>
    <w:p w:rsidR="007C5733" w:rsidRPr="001B206A" w:rsidRDefault="004129DC" w:rsidP="005C44A5">
      <w:pPr>
        <w:pStyle w:val="ListParagraph"/>
        <w:numPr>
          <w:ilvl w:val="0"/>
          <w:numId w:val="44"/>
        </w:numPr>
        <w:autoSpaceDE w:val="0"/>
        <w:autoSpaceDN w:val="0"/>
        <w:adjustRightInd w:val="0"/>
        <w:spacing w:after="0" w:line="240" w:lineRule="auto"/>
        <w:rPr>
          <w:szCs w:val="22"/>
        </w:rPr>
      </w:pPr>
      <w:r w:rsidRPr="001B206A">
        <w:rPr>
          <w:szCs w:val="22"/>
        </w:rPr>
        <w:t>In the case of older admissions in place prior to 20/11/2009, where there is no guarantor, bond or other security in place and where the existing admission agreement has not been subsequently amended to include a guarantor, bond or other security, then following the termination assessment any outstanding liabilities will be recovered from the outgoing body. Where this is not possible then this liability will be subsumed by the Fund as a whole. Any surplus identified will likewise be subsumed by the Fund.</w:t>
      </w:r>
    </w:p>
    <w:p w:rsidR="00D85BE9" w:rsidRDefault="009B1438" w:rsidP="007C5733">
      <w:pPr>
        <w:spacing w:after="0" w:line="240" w:lineRule="auto"/>
        <w:jc w:val="both"/>
        <w:rPr>
          <w:szCs w:val="22"/>
        </w:rPr>
      </w:pPr>
    </w:p>
    <w:p w:rsidR="00E71900" w:rsidRDefault="004129DC" w:rsidP="00E71900">
      <w:pPr>
        <w:autoSpaceDE w:val="0"/>
        <w:autoSpaceDN w:val="0"/>
        <w:adjustRightInd w:val="0"/>
        <w:spacing w:after="0" w:line="240" w:lineRule="auto"/>
        <w:rPr>
          <w:szCs w:val="22"/>
        </w:rPr>
      </w:pPr>
      <w:r w:rsidRPr="00E71900">
        <w:rPr>
          <w:szCs w:val="22"/>
        </w:rPr>
        <w:t>The regulations allow the fund to suspend (by issuing a "suspension notice") an exiting employer's liability for an exit payment for any period up to 3 years. This is only possible where, in the reasonable opinion of the administering authority, the body is likely to have one or more active members in relation to th</w:t>
      </w:r>
      <w:r>
        <w:rPr>
          <w:szCs w:val="22"/>
        </w:rPr>
        <w:t>e</w:t>
      </w:r>
      <w:r w:rsidRPr="00E71900">
        <w:rPr>
          <w:szCs w:val="22"/>
        </w:rPr>
        <w:t xml:space="preserve"> Fund within the period specified in the suspension notice. On this point, the Fund will always seek to recover the exit payment due at the point no more active members exist, unless it can be demonstrated that exceptional circumstances apply to allow a suspension period to apply. </w:t>
      </w:r>
    </w:p>
    <w:p w:rsidR="00E71900" w:rsidRPr="00E71900" w:rsidRDefault="009B1438" w:rsidP="00E71900">
      <w:pPr>
        <w:autoSpaceDE w:val="0"/>
        <w:autoSpaceDN w:val="0"/>
        <w:adjustRightInd w:val="0"/>
        <w:spacing w:after="0" w:line="240" w:lineRule="auto"/>
        <w:rPr>
          <w:szCs w:val="22"/>
        </w:rPr>
      </w:pPr>
    </w:p>
    <w:p w:rsidR="00E71900" w:rsidRPr="00E71900" w:rsidRDefault="004129DC" w:rsidP="00E71900">
      <w:pPr>
        <w:pStyle w:val="Heading10"/>
      </w:pPr>
      <w:r w:rsidRPr="00E71900">
        <w:t xml:space="preserve">Funding </w:t>
      </w:r>
      <w:r>
        <w:t xml:space="preserve">assumptions </w:t>
      </w:r>
      <w:r w:rsidRPr="00E71900">
        <w:t xml:space="preserve">for termination calculations </w:t>
      </w:r>
    </w:p>
    <w:p w:rsidR="00E71900" w:rsidRDefault="009B1438" w:rsidP="00E71900">
      <w:pPr>
        <w:autoSpaceDE w:val="0"/>
        <w:autoSpaceDN w:val="0"/>
        <w:adjustRightInd w:val="0"/>
        <w:spacing w:after="0" w:line="240" w:lineRule="auto"/>
        <w:rPr>
          <w:szCs w:val="22"/>
        </w:rPr>
      </w:pPr>
    </w:p>
    <w:p w:rsidR="00E71900" w:rsidRPr="00E71900" w:rsidRDefault="004129DC" w:rsidP="00E71900">
      <w:pPr>
        <w:autoSpaceDE w:val="0"/>
        <w:autoSpaceDN w:val="0"/>
        <w:adjustRightInd w:val="0"/>
        <w:spacing w:after="0" w:line="240" w:lineRule="auto"/>
        <w:rPr>
          <w:szCs w:val="22"/>
        </w:rPr>
      </w:pPr>
      <w:r w:rsidRPr="00E71900">
        <w:rPr>
          <w:szCs w:val="22"/>
        </w:rPr>
        <w:t xml:space="preserve">The LCPF policy is that a termination assessment will be made based on a </w:t>
      </w:r>
      <w:r w:rsidRPr="00B170E1">
        <w:rPr>
          <w:szCs w:val="22"/>
        </w:rPr>
        <w:t>corporate bond</w:t>
      </w:r>
      <w:r w:rsidRPr="00E71900">
        <w:rPr>
          <w:szCs w:val="22"/>
        </w:rPr>
        <w:t xml:space="preserve"> funding basis, </w:t>
      </w:r>
      <w:r w:rsidRPr="00E71900">
        <w:rPr>
          <w:b/>
          <w:szCs w:val="22"/>
        </w:rPr>
        <w:t>unless</w:t>
      </w:r>
      <w:r w:rsidRPr="00E71900">
        <w:rPr>
          <w:szCs w:val="22"/>
        </w:rPr>
        <w:t xml:space="preserve"> the </w:t>
      </w:r>
      <w:r>
        <w:rPr>
          <w:szCs w:val="22"/>
        </w:rPr>
        <w:t>terminating employer</w:t>
      </w:r>
      <w:r w:rsidRPr="00E71900">
        <w:rPr>
          <w:szCs w:val="22"/>
        </w:rPr>
        <w:t xml:space="preserve"> has a guarantor within the Fund or a successor body exists to take over the</w:t>
      </w:r>
      <w:r>
        <w:rPr>
          <w:szCs w:val="22"/>
        </w:rPr>
        <w:t>ir</w:t>
      </w:r>
      <w:r w:rsidRPr="00E71900">
        <w:rPr>
          <w:szCs w:val="22"/>
        </w:rPr>
        <w:t xml:space="preserve"> liabilities (including those for former employees). This is to protect the other employers in the Fund as, at termination, the </w:t>
      </w:r>
      <w:r>
        <w:rPr>
          <w:szCs w:val="22"/>
        </w:rPr>
        <w:t>terminating employer</w:t>
      </w:r>
      <w:r w:rsidRPr="00E71900">
        <w:rPr>
          <w:szCs w:val="22"/>
        </w:rPr>
        <w:t xml:space="preserve">’s liabilities will become “orphan liabilities” within the Fund, and there will be no recourse to the </w:t>
      </w:r>
      <w:r>
        <w:rPr>
          <w:szCs w:val="22"/>
        </w:rPr>
        <w:t>terminating employer</w:t>
      </w:r>
      <w:r w:rsidRPr="00E71900">
        <w:rPr>
          <w:szCs w:val="22"/>
        </w:rPr>
        <w:t xml:space="preserve"> if a shortfall emerges in the future (after  terminat</w:t>
      </w:r>
      <w:r>
        <w:rPr>
          <w:szCs w:val="22"/>
        </w:rPr>
        <w:t>ion</w:t>
      </w:r>
      <w:r w:rsidRPr="00E71900">
        <w:rPr>
          <w:szCs w:val="22"/>
        </w:rPr>
        <w:t xml:space="preserve">). </w:t>
      </w:r>
    </w:p>
    <w:p w:rsidR="00E71900" w:rsidRPr="001B206A" w:rsidRDefault="009B1438" w:rsidP="00E71900">
      <w:pPr>
        <w:autoSpaceDE w:val="0"/>
        <w:autoSpaceDN w:val="0"/>
        <w:adjustRightInd w:val="0"/>
        <w:spacing w:after="0" w:line="240" w:lineRule="auto"/>
        <w:rPr>
          <w:szCs w:val="22"/>
        </w:rPr>
      </w:pPr>
    </w:p>
    <w:p w:rsidR="00E71900" w:rsidRDefault="004129DC" w:rsidP="00E71900">
      <w:pPr>
        <w:autoSpaceDE w:val="0"/>
        <w:autoSpaceDN w:val="0"/>
        <w:adjustRightInd w:val="0"/>
        <w:spacing w:after="0" w:line="240" w:lineRule="auto"/>
        <w:rPr>
          <w:szCs w:val="22"/>
        </w:rPr>
      </w:pPr>
      <w:r w:rsidRPr="00E71900">
        <w:rPr>
          <w:szCs w:val="22"/>
        </w:rPr>
        <w:t xml:space="preserve">If, instead, the </w:t>
      </w:r>
      <w:r>
        <w:rPr>
          <w:szCs w:val="22"/>
        </w:rPr>
        <w:t>terminating employer</w:t>
      </w:r>
      <w:r w:rsidRPr="00E71900">
        <w:rPr>
          <w:szCs w:val="22"/>
        </w:rPr>
        <w:t xml:space="preserve"> has a guarantor within the Fund or a successor body exists to take over the</w:t>
      </w:r>
      <w:r>
        <w:rPr>
          <w:szCs w:val="22"/>
        </w:rPr>
        <w:t xml:space="preserve">ir </w:t>
      </w:r>
      <w:r w:rsidRPr="00E71900">
        <w:rPr>
          <w:szCs w:val="22"/>
        </w:rPr>
        <w:t>liabilities, the LCPF policy is that the valuation funding basis will be used for the termination assessment. The guarantor or successor body (or the Fund in respect of older admission</w:t>
      </w:r>
      <w:r>
        <w:rPr>
          <w:szCs w:val="22"/>
        </w:rPr>
        <w:t xml:space="preserve"> arrangements</w:t>
      </w:r>
      <w:r w:rsidRPr="00E71900">
        <w:rPr>
          <w:szCs w:val="22"/>
        </w:rPr>
        <w:t xml:space="preserve">) will then, following any termination payment made, subsume the assets and liabilities of the </w:t>
      </w:r>
      <w:r>
        <w:rPr>
          <w:szCs w:val="22"/>
        </w:rPr>
        <w:t>terminating employer</w:t>
      </w:r>
      <w:r w:rsidRPr="00E71900">
        <w:rPr>
          <w:szCs w:val="22"/>
        </w:rPr>
        <w:t xml:space="preserve"> within the Fund. This may, if agreed by the successor body, include the novation to the successor of any funding deficit on closure, in place of a termination payment being required of the admission body itself. </w:t>
      </w:r>
    </w:p>
    <w:p w:rsidR="00F06879" w:rsidRDefault="009B1438" w:rsidP="00E71900">
      <w:pPr>
        <w:autoSpaceDE w:val="0"/>
        <w:autoSpaceDN w:val="0"/>
        <w:adjustRightInd w:val="0"/>
        <w:spacing w:after="0" w:line="240" w:lineRule="auto"/>
        <w:rPr>
          <w:szCs w:val="22"/>
        </w:rPr>
      </w:pPr>
    </w:p>
    <w:p w:rsidR="00AB670F" w:rsidRPr="0080366A" w:rsidRDefault="004129DC" w:rsidP="00AB670F">
      <w:pPr>
        <w:spacing w:after="0" w:line="240" w:lineRule="auto"/>
        <w:jc w:val="both"/>
        <w:rPr>
          <w:szCs w:val="22"/>
        </w:rPr>
      </w:pPr>
      <w:r w:rsidRPr="0080366A">
        <w:rPr>
          <w:szCs w:val="22"/>
        </w:rPr>
        <w:t xml:space="preserve">The </w:t>
      </w:r>
      <w:r w:rsidRPr="00915749">
        <w:rPr>
          <w:szCs w:val="22"/>
        </w:rPr>
        <w:t>corporate bond financial</w:t>
      </w:r>
      <w:r w:rsidRPr="0080366A">
        <w:rPr>
          <w:szCs w:val="22"/>
        </w:rPr>
        <w:t xml:space="preserve"> assumptions that applied at the actuarial valuation date (31 March 2016) are set out below in relation to any liability remaining in the Fund.  These will be updated on a case-by-case basis, with reference to prevailing market conditions at the relevant employing body’s cessation date.</w:t>
      </w:r>
    </w:p>
    <w:p w:rsidR="00AB670F" w:rsidRPr="0080366A" w:rsidRDefault="009B1438" w:rsidP="00AB670F">
      <w:pPr>
        <w:spacing w:after="0" w:line="240" w:lineRule="auto"/>
        <w:jc w:val="both"/>
        <w:rPr>
          <w:szCs w:val="22"/>
        </w:rPr>
      </w:pPr>
    </w:p>
    <w:p w:rsidR="00AB670F" w:rsidRPr="0080366A" w:rsidRDefault="009B1438" w:rsidP="00AB670F">
      <w:pPr>
        <w:spacing w:after="0" w:line="240" w:lineRule="auto"/>
        <w:jc w:val="both"/>
        <w:rPr>
          <w:szCs w:val="22"/>
        </w:rPr>
      </w:pPr>
    </w:p>
    <w:tbl>
      <w:tblPr>
        <w:tblStyle w:val="TableGrid"/>
        <w:tblW w:w="7639" w:type="dxa"/>
        <w:jc w:val="center"/>
        <w:tblLook w:val="04A0" w:firstRow="1" w:lastRow="0" w:firstColumn="1" w:lastColumn="0" w:noHBand="0" w:noVBand="1"/>
      </w:tblPr>
      <w:tblGrid>
        <w:gridCol w:w="3386"/>
        <w:gridCol w:w="2321"/>
        <w:gridCol w:w="1932"/>
      </w:tblGrid>
      <w:tr w:rsidR="00344056" w:rsidTr="00234EAE">
        <w:trPr>
          <w:trHeight w:val="274"/>
          <w:jc w:val="center"/>
        </w:trPr>
        <w:tc>
          <w:tcPr>
            <w:tcW w:w="3386" w:type="dxa"/>
          </w:tcPr>
          <w:p w:rsidR="00234EAE" w:rsidRPr="00F76F49" w:rsidRDefault="004129DC" w:rsidP="00AB0528">
            <w:pPr>
              <w:spacing w:after="0" w:line="240" w:lineRule="auto"/>
              <w:rPr>
                <w:rFonts w:cs="Arial"/>
                <w:color w:val="auto"/>
              </w:rPr>
            </w:pPr>
            <w:r w:rsidRPr="00F76F49">
              <w:rPr>
                <w:rFonts w:cs="Arial"/>
                <w:b/>
                <w:color w:val="auto"/>
              </w:rPr>
              <w:t>31 March 2016</w:t>
            </w:r>
          </w:p>
        </w:tc>
        <w:tc>
          <w:tcPr>
            <w:tcW w:w="2321" w:type="dxa"/>
          </w:tcPr>
          <w:p w:rsidR="00234EAE" w:rsidRPr="00F76F49" w:rsidRDefault="004129DC" w:rsidP="00AB0528">
            <w:pPr>
              <w:spacing w:after="0" w:line="240" w:lineRule="auto"/>
              <w:jc w:val="center"/>
              <w:rPr>
                <w:rFonts w:cs="Arial"/>
                <w:b/>
                <w:color w:val="auto"/>
              </w:rPr>
            </w:pPr>
            <w:r>
              <w:rPr>
                <w:rFonts w:cs="Arial"/>
                <w:b/>
                <w:color w:val="auto"/>
              </w:rPr>
              <w:t>Valuation funding assumptions</w:t>
            </w:r>
          </w:p>
        </w:tc>
        <w:tc>
          <w:tcPr>
            <w:tcW w:w="1932" w:type="dxa"/>
          </w:tcPr>
          <w:p w:rsidR="00234EAE" w:rsidRPr="00915749" w:rsidRDefault="004129DC" w:rsidP="00AB0528">
            <w:pPr>
              <w:spacing w:after="0" w:line="240" w:lineRule="auto"/>
              <w:jc w:val="center"/>
              <w:rPr>
                <w:rFonts w:cs="Arial"/>
                <w:b/>
                <w:color w:val="auto"/>
              </w:rPr>
            </w:pPr>
            <w:r w:rsidRPr="00915749">
              <w:rPr>
                <w:rFonts w:cs="Arial"/>
                <w:b/>
                <w:color w:val="auto"/>
              </w:rPr>
              <w:t>Corporate bond assumptions</w:t>
            </w:r>
          </w:p>
        </w:tc>
      </w:tr>
      <w:tr w:rsidR="00344056" w:rsidTr="00234EAE">
        <w:trPr>
          <w:trHeight w:val="64"/>
          <w:jc w:val="center"/>
        </w:trPr>
        <w:tc>
          <w:tcPr>
            <w:tcW w:w="3386" w:type="dxa"/>
          </w:tcPr>
          <w:p w:rsidR="00234EAE" w:rsidRPr="00F76F49" w:rsidRDefault="009B1438" w:rsidP="00AB0528">
            <w:pPr>
              <w:spacing w:after="0" w:line="240" w:lineRule="auto"/>
              <w:rPr>
                <w:rFonts w:cs="Arial"/>
                <w:color w:val="auto"/>
                <w:sz w:val="12"/>
              </w:rPr>
            </w:pPr>
          </w:p>
        </w:tc>
        <w:tc>
          <w:tcPr>
            <w:tcW w:w="2321" w:type="dxa"/>
          </w:tcPr>
          <w:p w:rsidR="00234EAE" w:rsidRPr="00F76F49" w:rsidRDefault="009B1438" w:rsidP="00AB0528">
            <w:pPr>
              <w:spacing w:after="0" w:line="240" w:lineRule="auto"/>
              <w:jc w:val="center"/>
              <w:rPr>
                <w:rFonts w:cs="Arial"/>
                <w:color w:val="auto"/>
              </w:rPr>
            </w:pPr>
          </w:p>
        </w:tc>
        <w:tc>
          <w:tcPr>
            <w:tcW w:w="1932" w:type="dxa"/>
          </w:tcPr>
          <w:p w:rsidR="00234EAE" w:rsidRPr="00915749" w:rsidRDefault="009B1438" w:rsidP="00AB0528">
            <w:pPr>
              <w:spacing w:after="0" w:line="240" w:lineRule="auto"/>
              <w:jc w:val="center"/>
              <w:rPr>
                <w:rFonts w:cs="Arial"/>
                <w:color w:val="auto"/>
              </w:rPr>
            </w:pPr>
          </w:p>
        </w:tc>
      </w:tr>
      <w:tr w:rsidR="00344056" w:rsidTr="00234EAE">
        <w:trPr>
          <w:trHeight w:val="260"/>
          <w:jc w:val="center"/>
        </w:trPr>
        <w:tc>
          <w:tcPr>
            <w:tcW w:w="3386" w:type="dxa"/>
          </w:tcPr>
          <w:p w:rsidR="00234EAE" w:rsidRPr="00F76F49" w:rsidRDefault="004129DC" w:rsidP="00AB0528">
            <w:pPr>
              <w:spacing w:after="0" w:line="240" w:lineRule="auto"/>
              <w:rPr>
                <w:rFonts w:cs="Arial"/>
                <w:color w:val="auto"/>
              </w:rPr>
            </w:pPr>
            <w:r w:rsidRPr="00F76F49">
              <w:rPr>
                <w:rFonts w:cs="Arial"/>
                <w:color w:val="auto"/>
              </w:rPr>
              <w:t>Discount Rate</w:t>
            </w:r>
          </w:p>
        </w:tc>
        <w:tc>
          <w:tcPr>
            <w:tcW w:w="2321" w:type="dxa"/>
          </w:tcPr>
          <w:p w:rsidR="00234EAE" w:rsidRPr="00F76F49" w:rsidRDefault="004129DC" w:rsidP="00AB0528">
            <w:pPr>
              <w:spacing w:after="0" w:line="240" w:lineRule="auto"/>
              <w:jc w:val="center"/>
              <w:rPr>
                <w:rFonts w:cs="Arial"/>
                <w:color w:val="auto"/>
              </w:rPr>
            </w:pPr>
            <w:r>
              <w:rPr>
                <w:rFonts w:cs="Arial"/>
                <w:color w:val="auto"/>
              </w:rPr>
              <w:t>4.4% p.a.</w:t>
            </w:r>
          </w:p>
        </w:tc>
        <w:tc>
          <w:tcPr>
            <w:tcW w:w="1932" w:type="dxa"/>
          </w:tcPr>
          <w:p w:rsidR="00234EAE" w:rsidRPr="00915749" w:rsidRDefault="004129DC" w:rsidP="00AB0528">
            <w:pPr>
              <w:spacing w:after="0" w:line="240" w:lineRule="auto"/>
              <w:jc w:val="center"/>
              <w:rPr>
                <w:rFonts w:cs="Arial"/>
                <w:color w:val="auto"/>
              </w:rPr>
            </w:pPr>
            <w:r w:rsidRPr="00915749">
              <w:rPr>
                <w:rFonts w:cs="Arial"/>
                <w:color w:val="auto"/>
              </w:rPr>
              <w:t>3.6% p.a.</w:t>
            </w:r>
          </w:p>
        </w:tc>
      </w:tr>
      <w:tr w:rsidR="00344056" w:rsidTr="00234EAE">
        <w:trPr>
          <w:trHeight w:val="274"/>
          <w:jc w:val="center"/>
        </w:trPr>
        <w:tc>
          <w:tcPr>
            <w:tcW w:w="3386" w:type="dxa"/>
          </w:tcPr>
          <w:p w:rsidR="00234EAE" w:rsidRPr="00F76F49" w:rsidRDefault="004129DC" w:rsidP="00AB0528">
            <w:pPr>
              <w:spacing w:after="0" w:line="240" w:lineRule="auto"/>
              <w:rPr>
                <w:rFonts w:cs="Arial"/>
                <w:color w:val="auto"/>
              </w:rPr>
            </w:pPr>
            <w:r w:rsidRPr="00F76F49">
              <w:rPr>
                <w:rFonts w:cs="Arial"/>
                <w:color w:val="auto"/>
              </w:rPr>
              <w:t>CPI price inflation</w:t>
            </w:r>
          </w:p>
        </w:tc>
        <w:tc>
          <w:tcPr>
            <w:tcW w:w="2321" w:type="dxa"/>
          </w:tcPr>
          <w:p w:rsidR="00234EAE" w:rsidRPr="00F76F49" w:rsidRDefault="004129DC" w:rsidP="00AB0528">
            <w:pPr>
              <w:spacing w:after="0" w:line="240" w:lineRule="auto"/>
              <w:jc w:val="center"/>
              <w:rPr>
                <w:rFonts w:cs="Arial"/>
                <w:color w:val="auto"/>
              </w:rPr>
            </w:pPr>
            <w:r w:rsidRPr="00F76F49">
              <w:rPr>
                <w:rFonts w:cs="Arial"/>
                <w:color w:val="auto"/>
              </w:rPr>
              <w:t>2.2% p.a.</w:t>
            </w:r>
          </w:p>
        </w:tc>
        <w:tc>
          <w:tcPr>
            <w:tcW w:w="1932" w:type="dxa"/>
          </w:tcPr>
          <w:p w:rsidR="00234EAE" w:rsidRPr="00915749" w:rsidRDefault="004129DC" w:rsidP="00AB0528">
            <w:pPr>
              <w:spacing w:after="0" w:line="240" w:lineRule="auto"/>
              <w:jc w:val="center"/>
              <w:rPr>
                <w:rFonts w:cs="Arial"/>
                <w:color w:val="auto"/>
              </w:rPr>
            </w:pPr>
            <w:r w:rsidRPr="00915749">
              <w:rPr>
                <w:rFonts w:cs="Arial"/>
                <w:color w:val="auto"/>
              </w:rPr>
              <w:t>2.2% p.a.</w:t>
            </w:r>
          </w:p>
        </w:tc>
      </w:tr>
      <w:tr w:rsidR="00344056" w:rsidTr="00234EAE">
        <w:trPr>
          <w:trHeight w:val="260"/>
          <w:jc w:val="center"/>
        </w:trPr>
        <w:tc>
          <w:tcPr>
            <w:tcW w:w="3386" w:type="dxa"/>
          </w:tcPr>
          <w:p w:rsidR="00234EAE" w:rsidRPr="00F76F49" w:rsidRDefault="004129DC" w:rsidP="00AB0528">
            <w:pPr>
              <w:spacing w:after="0" w:line="240" w:lineRule="auto"/>
              <w:rPr>
                <w:rFonts w:cs="Arial"/>
                <w:color w:val="auto"/>
              </w:rPr>
            </w:pPr>
            <w:r w:rsidRPr="00F76F49">
              <w:rPr>
                <w:rFonts w:cs="Arial"/>
                <w:color w:val="auto"/>
              </w:rPr>
              <w:t>Pension increases/indexation of CARE benefits</w:t>
            </w:r>
            <w:r w:rsidRPr="00F76F49">
              <w:rPr>
                <w:rFonts w:cs="Arial"/>
                <w:color w:val="auto"/>
              </w:rPr>
              <w:tab/>
            </w:r>
          </w:p>
        </w:tc>
        <w:tc>
          <w:tcPr>
            <w:tcW w:w="2321" w:type="dxa"/>
          </w:tcPr>
          <w:p w:rsidR="00234EAE" w:rsidRPr="00F76F49" w:rsidRDefault="004129DC" w:rsidP="00AB0528">
            <w:pPr>
              <w:spacing w:after="0" w:line="240" w:lineRule="auto"/>
              <w:jc w:val="center"/>
              <w:rPr>
                <w:rFonts w:cs="Arial"/>
                <w:color w:val="auto"/>
              </w:rPr>
            </w:pPr>
            <w:r w:rsidRPr="00F76F49">
              <w:rPr>
                <w:rFonts w:cs="Arial"/>
                <w:color w:val="auto"/>
              </w:rPr>
              <w:t>2.2% p.a.</w:t>
            </w:r>
          </w:p>
        </w:tc>
        <w:tc>
          <w:tcPr>
            <w:tcW w:w="1932" w:type="dxa"/>
          </w:tcPr>
          <w:p w:rsidR="00234EAE" w:rsidRPr="00915749" w:rsidRDefault="004129DC" w:rsidP="00AB0528">
            <w:pPr>
              <w:spacing w:after="0" w:line="240" w:lineRule="auto"/>
              <w:jc w:val="center"/>
              <w:rPr>
                <w:rFonts w:cs="Arial"/>
                <w:color w:val="auto"/>
              </w:rPr>
            </w:pPr>
            <w:r w:rsidRPr="00915749">
              <w:rPr>
                <w:rFonts w:cs="Arial"/>
                <w:color w:val="auto"/>
              </w:rPr>
              <w:t>2.2% p.a.</w:t>
            </w:r>
          </w:p>
        </w:tc>
      </w:tr>
    </w:tbl>
    <w:p w:rsidR="00AB670F" w:rsidRDefault="009B1438" w:rsidP="00AB670F">
      <w:pPr>
        <w:spacing w:after="0" w:line="240" w:lineRule="auto"/>
        <w:jc w:val="both"/>
        <w:rPr>
          <w:rFonts w:cs="Arial"/>
          <w:color w:val="auto"/>
        </w:rPr>
      </w:pPr>
    </w:p>
    <w:p w:rsidR="00AB670F" w:rsidRPr="00C90B2B" w:rsidRDefault="004129DC" w:rsidP="00AB670F">
      <w:pPr>
        <w:spacing w:after="0" w:line="240" w:lineRule="auto"/>
        <w:jc w:val="both"/>
        <w:rPr>
          <w:szCs w:val="22"/>
        </w:rPr>
      </w:pPr>
      <w:r w:rsidRPr="0080366A">
        <w:rPr>
          <w:szCs w:val="22"/>
        </w:rPr>
        <w:t xml:space="preserve">All demographic assumptions will be the same as those adopted for the 2016 actuarial valuation, </w:t>
      </w:r>
      <w:r w:rsidRPr="00F82887">
        <w:rPr>
          <w:szCs w:val="22"/>
        </w:rPr>
        <w:t>except in relation to the life expectancy assumption</w:t>
      </w:r>
      <w:r>
        <w:rPr>
          <w:szCs w:val="22"/>
        </w:rPr>
        <w:t xml:space="preserve"> for </w:t>
      </w:r>
      <w:r w:rsidRPr="00915749">
        <w:rPr>
          <w:szCs w:val="22"/>
        </w:rPr>
        <w:t>the corporate bond approach.  Given these financial assumptions do not protect against future adverse demographic experience a higher level of prudence will be adopted in the life expectancy assumption.</w:t>
      </w:r>
    </w:p>
    <w:p w:rsidR="00AB670F" w:rsidRPr="00660ED1" w:rsidRDefault="009B1438" w:rsidP="00AB670F">
      <w:pPr>
        <w:spacing w:after="0" w:line="240" w:lineRule="auto"/>
        <w:jc w:val="both"/>
        <w:rPr>
          <w:szCs w:val="22"/>
        </w:rPr>
      </w:pPr>
    </w:p>
    <w:p w:rsidR="00AB670F" w:rsidRPr="00660ED1" w:rsidRDefault="004129DC" w:rsidP="00AB670F">
      <w:pPr>
        <w:spacing w:after="0" w:line="240" w:lineRule="auto"/>
        <w:jc w:val="both"/>
        <w:rPr>
          <w:szCs w:val="22"/>
        </w:rPr>
      </w:pPr>
      <w:r w:rsidRPr="00660ED1">
        <w:rPr>
          <w:szCs w:val="22"/>
        </w:rPr>
        <w:t xml:space="preserve">Therefore the </w:t>
      </w:r>
      <w:r w:rsidRPr="00915749">
        <w:rPr>
          <w:szCs w:val="22"/>
        </w:rPr>
        <w:t xml:space="preserve">corporate bond approach for an outgoing employer will include an adjustment to the assumption for longevity improvements over time by increasing the rate of improvement in mortality rates to 2% p.a. from 1.5% </w:t>
      </w:r>
      <w:r w:rsidRPr="00C90B2B">
        <w:rPr>
          <w:szCs w:val="22"/>
        </w:rPr>
        <w:t>p.a. used in the 2016 valuation for ongoing funding and contribution p</w:t>
      </w:r>
      <w:r w:rsidRPr="00660ED1">
        <w:rPr>
          <w:szCs w:val="22"/>
        </w:rPr>
        <w:t xml:space="preserve">urposes. </w:t>
      </w:r>
    </w:p>
    <w:p w:rsidR="00112163" w:rsidRPr="00660ED1" w:rsidRDefault="009B1438" w:rsidP="00AB670F">
      <w:pPr>
        <w:spacing w:after="0" w:line="240" w:lineRule="auto"/>
        <w:jc w:val="both"/>
        <w:rPr>
          <w:szCs w:val="22"/>
        </w:rPr>
      </w:pPr>
    </w:p>
    <w:p w:rsidR="00112163" w:rsidRPr="0080366A" w:rsidRDefault="004129DC" w:rsidP="00AB670F">
      <w:pPr>
        <w:spacing w:after="0" w:line="240" w:lineRule="auto"/>
        <w:jc w:val="both"/>
        <w:rPr>
          <w:szCs w:val="22"/>
        </w:rPr>
      </w:pPr>
      <w:r w:rsidRPr="00915749">
        <w:rPr>
          <w:szCs w:val="22"/>
        </w:rPr>
        <w:t>Notwithstanding the above, at the discretion of the Head of Fund a “minimum risk” approach may be used for the calculation of the termination assessment.  Under such an approach the discount rate would be linked to long-term gilt yields rather than corporate bond yields.  If this were to be applied then the employer would be notified when termination was being discussed.</w:t>
      </w:r>
    </w:p>
    <w:p w:rsidR="00AB670F" w:rsidRDefault="009B1438" w:rsidP="00E71900">
      <w:pPr>
        <w:pStyle w:val="Heading10"/>
      </w:pPr>
    </w:p>
    <w:p w:rsidR="00E71900" w:rsidRDefault="004129DC" w:rsidP="00E71900">
      <w:pPr>
        <w:pStyle w:val="Heading10"/>
      </w:pPr>
      <w:r>
        <w:t>N</w:t>
      </w:r>
      <w:r w:rsidRPr="00E71900">
        <w:t xml:space="preserve">otification of Termination </w:t>
      </w:r>
    </w:p>
    <w:p w:rsidR="00E71900" w:rsidRDefault="009B1438" w:rsidP="00E71900">
      <w:pPr>
        <w:autoSpaceDE w:val="0"/>
        <w:autoSpaceDN w:val="0"/>
        <w:adjustRightInd w:val="0"/>
        <w:spacing w:after="0" w:line="240" w:lineRule="auto"/>
        <w:rPr>
          <w:szCs w:val="22"/>
        </w:rPr>
      </w:pPr>
    </w:p>
    <w:p w:rsidR="007C5733" w:rsidRPr="0080366A" w:rsidRDefault="004129DC" w:rsidP="007C5733">
      <w:pPr>
        <w:spacing w:after="0" w:line="240" w:lineRule="auto"/>
        <w:jc w:val="both"/>
        <w:rPr>
          <w:szCs w:val="22"/>
        </w:rPr>
      </w:pPr>
      <w:r w:rsidRPr="0080366A">
        <w:rPr>
          <w:szCs w:val="22"/>
        </w:rPr>
        <w:t xml:space="preserve">In many cases, termination of an employer’s participation is an event that can be foreseen, for example, because the organisation’s operations may be planned to be discontinued and/or the admission agreement is due to cease.  Under the Regulations, in the event of the Administering Authority becoming aware of such circumstances, it can amend an employer’s minimum contributions such that the value of the assets of the employing body is neither materially more nor materially less than its anticipated liabilities at the date it appears to the Administering Authority that it will cease to be a participating employer.   In this case, employing bodies are encouraged to </w:t>
      </w:r>
      <w:r w:rsidRPr="0080366A">
        <w:rPr>
          <w:szCs w:val="22"/>
        </w:rPr>
        <w:lastRenderedPageBreak/>
        <w:t>open a dialogue with the Fund to commence planning for the termination as early as possible. Where termination is disclosed in advance the Fund will operate procedures to reduce the sizeable volatility risks to the debt amount in the run up to actual termination of participation.  The Fund will modify the employing body’s approach in any case, where it might materially affect the finances of the Scheme, or depending on any case specific circumstances.</w:t>
      </w:r>
    </w:p>
    <w:p w:rsidR="00551C87" w:rsidRDefault="009B1438" w:rsidP="006F3777">
      <w:pPr>
        <w:pStyle w:val="Heading10"/>
      </w:pPr>
    </w:p>
    <w:p w:rsidR="006F3777" w:rsidRPr="00DD59EF" w:rsidRDefault="004129DC" w:rsidP="006F3777">
      <w:pPr>
        <w:pStyle w:val="Heading10"/>
      </w:pPr>
      <w:r>
        <w:t>TERMINATION PAYMENTS</w:t>
      </w:r>
    </w:p>
    <w:p w:rsidR="006F3777" w:rsidRDefault="009B1438" w:rsidP="007C5733">
      <w:pPr>
        <w:spacing w:after="0" w:line="240" w:lineRule="auto"/>
        <w:jc w:val="both"/>
        <w:rPr>
          <w:szCs w:val="22"/>
        </w:rPr>
      </w:pPr>
    </w:p>
    <w:p w:rsidR="007C5733" w:rsidRPr="0080366A" w:rsidRDefault="004129DC" w:rsidP="007C5733">
      <w:pPr>
        <w:spacing w:after="0" w:line="240" w:lineRule="auto"/>
        <w:jc w:val="both"/>
        <w:rPr>
          <w:szCs w:val="22"/>
        </w:rPr>
      </w:pPr>
      <w:r w:rsidRPr="0080366A">
        <w:rPr>
          <w:szCs w:val="22"/>
        </w:rPr>
        <w:t xml:space="preserve">The Fund’s standard policy is to recover termination deficits (including interest and expenses) as a one off payment. However, at the discretion of the Administering Authority, the deficit can be recovered over an agreed period as certified by the Actuary. This period will depend on the Administering Authority’s view on the covenant of the outgoing employer. </w:t>
      </w:r>
    </w:p>
    <w:p w:rsidR="00DD59EF" w:rsidRDefault="009B1438" w:rsidP="007C5733">
      <w:pPr>
        <w:spacing w:after="0" w:line="240" w:lineRule="auto"/>
        <w:jc w:val="both"/>
        <w:rPr>
          <w:rFonts w:cs="Arial"/>
          <w:color w:val="auto"/>
        </w:rPr>
      </w:pPr>
    </w:p>
    <w:p w:rsidR="00C93693" w:rsidRPr="0080366A" w:rsidRDefault="004129DC" w:rsidP="00C93693">
      <w:pPr>
        <w:spacing w:after="0" w:line="240" w:lineRule="auto"/>
        <w:jc w:val="both"/>
        <w:rPr>
          <w:szCs w:val="22"/>
        </w:rPr>
      </w:pPr>
      <w:r>
        <w:rPr>
          <w:szCs w:val="22"/>
        </w:rPr>
        <w:t xml:space="preserve">The actuarial cost of carrying out the termination assessment will be charged to the outgoing employer, together with any other related costs of the termination. </w:t>
      </w:r>
    </w:p>
    <w:p w:rsidR="00C93693" w:rsidRPr="00CA4B9B" w:rsidRDefault="009B1438" w:rsidP="007C5733">
      <w:pPr>
        <w:spacing w:after="0" w:line="240" w:lineRule="auto"/>
        <w:jc w:val="both"/>
        <w:rPr>
          <w:rFonts w:cs="Arial"/>
          <w:color w:val="auto"/>
        </w:rPr>
      </w:pPr>
    </w:p>
    <w:p w:rsidR="00234EAE" w:rsidRDefault="009B1438" w:rsidP="00E71900">
      <w:pPr>
        <w:pStyle w:val="Heading10"/>
        <w:rPr>
          <w:b/>
        </w:rPr>
      </w:pPr>
    </w:p>
    <w:p w:rsidR="00E71900" w:rsidRPr="00E71900" w:rsidRDefault="004129DC" w:rsidP="00E71900">
      <w:pPr>
        <w:pStyle w:val="Heading10"/>
        <w:rPr>
          <w:b/>
        </w:rPr>
      </w:pPr>
      <w:r>
        <w:rPr>
          <w:b/>
        </w:rPr>
        <w:t xml:space="preserve">D - </w:t>
      </w:r>
      <w:r w:rsidRPr="00E71900">
        <w:rPr>
          <w:b/>
        </w:rPr>
        <w:t xml:space="preserve">Charging structure </w:t>
      </w:r>
    </w:p>
    <w:p w:rsidR="00E71900" w:rsidRDefault="009B1438" w:rsidP="00E71900">
      <w:pPr>
        <w:pStyle w:val="Heading10"/>
      </w:pPr>
    </w:p>
    <w:p w:rsidR="00E71900" w:rsidRPr="00E71900" w:rsidRDefault="004129DC" w:rsidP="00E71900">
      <w:pPr>
        <w:pStyle w:val="Heading10"/>
      </w:pPr>
      <w:r w:rsidRPr="00E71900">
        <w:t xml:space="preserve">'Tariff' Charges – Recovery of LCPF administration costs </w:t>
      </w:r>
    </w:p>
    <w:p w:rsidR="00E71900" w:rsidRDefault="009B1438" w:rsidP="00E71900">
      <w:pPr>
        <w:autoSpaceDE w:val="0"/>
        <w:autoSpaceDN w:val="0"/>
        <w:adjustRightInd w:val="0"/>
        <w:spacing w:after="0" w:line="240" w:lineRule="auto"/>
        <w:rPr>
          <w:rFonts w:cs="Arial"/>
          <w:color w:val="000000"/>
          <w:sz w:val="23"/>
          <w:szCs w:val="23"/>
          <w:lang w:val="en-GB"/>
        </w:rPr>
      </w:pPr>
    </w:p>
    <w:p w:rsidR="00E71900" w:rsidRPr="00E71900" w:rsidRDefault="004129DC" w:rsidP="00E71900">
      <w:pPr>
        <w:pStyle w:val="ListParagraph"/>
        <w:numPr>
          <w:ilvl w:val="0"/>
          <w:numId w:val="43"/>
        </w:numPr>
        <w:autoSpaceDE w:val="0"/>
        <w:autoSpaceDN w:val="0"/>
        <w:adjustRightInd w:val="0"/>
        <w:spacing w:after="0" w:line="240" w:lineRule="auto"/>
        <w:rPr>
          <w:szCs w:val="22"/>
        </w:rPr>
      </w:pPr>
      <w:r w:rsidRPr="00E71900">
        <w:rPr>
          <w:szCs w:val="22"/>
        </w:rPr>
        <w:t>Admission agreement - £1,000</w:t>
      </w:r>
    </w:p>
    <w:p w:rsidR="00E71900" w:rsidRPr="00E71900" w:rsidRDefault="004129DC" w:rsidP="00E71900">
      <w:pPr>
        <w:pStyle w:val="ListParagraph"/>
        <w:numPr>
          <w:ilvl w:val="0"/>
          <w:numId w:val="43"/>
        </w:numPr>
        <w:autoSpaceDE w:val="0"/>
        <w:autoSpaceDN w:val="0"/>
        <w:adjustRightInd w:val="0"/>
        <w:spacing w:after="0" w:line="240" w:lineRule="auto"/>
        <w:rPr>
          <w:szCs w:val="22"/>
        </w:rPr>
      </w:pPr>
      <w:r w:rsidRPr="00E71900">
        <w:rPr>
          <w:szCs w:val="22"/>
        </w:rPr>
        <w:t>New Academy – £350</w:t>
      </w:r>
    </w:p>
    <w:p w:rsidR="00E71900" w:rsidRPr="00E71900" w:rsidRDefault="009B1438" w:rsidP="00E71900">
      <w:pPr>
        <w:autoSpaceDE w:val="0"/>
        <w:autoSpaceDN w:val="0"/>
        <w:adjustRightInd w:val="0"/>
        <w:spacing w:after="0" w:line="240" w:lineRule="auto"/>
        <w:rPr>
          <w:rFonts w:cs="Arial"/>
          <w:color w:val="000000"/>
          <w:sz w:val="23"/>
          <w:szCs w:val="23"/>
          <w:lang w:val="en-GB"/>
        </w:rPr>
      </w:pPr>
    </w:p>
    <w:p w:rsidR="00E71900" w:rsidRPr="00E71900" w:rsidRDefault="004129DC" w:rsidP="00E71900">
      <w:pPr>
        <w:autoSpaceDE w:val="0"/>
        <w:autoSpaceDN w:val="0"/>
        <w:adjustRightInd w:val="0"/>
        <w:spacing w:after="0" w:line="240" w:lineRule="auto"/>
        <w:rPr>
          <w:caps/>
          <w:color w:val="002C77"/>
          <w:spacing w:val="30"/>
          <w:szCs w:val="26"/>
        </w:rPr>
      </w:pPr>
      <w:r w:rsidRPr="00E71900">
        <w:rPr>
          <w:caps/>
          <w:color w:val="002C77"/>
          <w:spacing w:val="30"/>
          <w:szCs w:val="26"/>
        </w:rPr>
        <w:t xml:space="preserve">'Non-Tariff' Charges – Recovery of LCPF costs </w:t>
      </w:r>
    </w:p>
    <w:p w:rsidR="00E71900" w:rsidRDefault="009B1438" w:rsidP="00E71900">
      <w:pPr>
        <w:autoSpaceDE w:val="0"/>
        <w:autoSpaceDN w:val="0"/>
        <w:adjustRightInd w:val="0"/>
        <w:spacing w:after="0" w:line="240" w:lineRule="auto"/>
        <w:rPr>
          <w:rFonts w:cs="Arial"/>
          <w:color w:val="000000"/>
          <w:sz w:val="23"/>
          <w:szCs w:val="23"/>
          <w:lang w:val="en-GB"/>
        </w:rPr>
      </w:pPr>
    </w:p>
    <w:p w:rsidR="00E71900" w:rsidRPr="00E71900" w:rsidRDefault="004129DC" w:rsidP="00E71900">
      <w:pPr>
        <w:autoSpaceDE w:val="0"/>
        <w:autoSpaceDN w:val="0"/>
        <w:adjustRightInd w:val="0"/>
        <w:spacing w:after="0" w:line="240" w:lineRule="auto"/>
        <w:rPr>
          <w:szCs w:val="22"/>
        </w:rPr>
      </w:pPr>
      <w:r w:rsidRPr="00E71900">
        <w:rPr>
          <w:szCs w:val="22"/>
        </w:rPr>
        <w:t xml:space="preserve">The above represents the charging structure for new admission agreements and academies using the Fund's default position. Where employers choose to deviate from the Fund's default position the Fund's costs will be recovered at a rate of £35 per hour in addition to the 'tariff' rates above. </w:t>
      </w:r>
    </w:p>
    <w:p w:rsidR="00E71900" w:rsidRDefault="009B1438" w:rsidP="00E71900">
      <w:pPr>
        <w:autoSpaceDE w:val="0"/>
        <w:autoSpaceDN w:val="0"/>
        <w:adjustRightInd w:val="0"/>
        <w:spacing w:after="0" w:line="240" w:lineRule="auto"/>
        <w:rPr>
          <w:szCs w:val="22"/>
        </w:rPr>
      </w:pPr>
    </w:p>
    <w:p w:rsidR="00E67A9B" w:rsidRDefault="004129DC" w:rsidP="00E71900">
      <w:pPr>
        <w:autoSpaceDE w:val="0"/>
        <w:autoSpaceDN w:val="0"/>
        <w:adjustRightInd w:val="0"/>
        <w:spacing w:after="0" w:line="240" w:lineRule="auto"/>
        <w:rPr>
          <w:szCs w:val="22"/>
        </w:rPr>
      </w:pPr>
      <w:r w:rsidRPr="00E71900">
        <w:rPr>
          <w:szCs w:val="22"/>
        </w:rPr>
        <w:t xml:space="preserve">Where </w:t>
      </w:r>
      <w:r>
        <w:rPr>
          <w:szCs w:val="22"/>
        </w:rPr>
        <w:t xml:space="preserve">pensions contributions due to the LCPF are paid </w:t>
      </w:r>
      <w:r w:rsidRPr="00E71900">
        <w:rPr>
          <w:szCs w:val="22"/>
        </w:rPr>
        <w:t>'late'</w:t>
      </w:r>
      <w:r>
        <w:rPr>
          <w:szCs w:val="22"/>
        </w:rPr>
        <w:t xml:space="preserve"> </w:t>
      </w:r>
      <w:r w:rsidRPr="00E71900">
        <w:rPr>
          <w:szCs w:val="22"/>
        </w:rPr>
        <w:t>the</w:t>
      </w:r>
      <w:r>
        <w:rPr>
          <w:szCs w:val="22"/>
        </w:rPr>
        <w:t xml:space="preserve">n additional interest charges will be made against those contributions. </w:t>
      </w:r>
      <w:r w:rsidRPr="00E71900">
        <w:rPr>
          <w:szCs w:val="22"/>
        </w:rPr>
        <w:t xml:space="preserve"> 'Late' within this context means where the appropriate pension contributions have not been paid across to the fund on or before the due date. To be clear the due date is 19 days after the end of the month in which </w:t>
      </w:r>
      <w:r>
        <w:rPr>
          <w:szCs w:val="22"/>
        </w:rPr>
        <w:t>a</w:t>
      </w:r>
      <w:r w:rsidRPr="00E71900">
        <w:rPr>
          <w:szCs w:val="22"/>
        </w:rPr>
        <w:t xml:space="preserve"> </w:t>
      </w:r>
      <w:r>
        <w:rPr>
          <w:szCs w:val="22"/>
        </w:rPr>
        <w:t>new employer is deemed to have commenced in the LCPF.</w:t>
      </w:r>
    </w:p>
    <w:p w:rsidR="00E67A9B" w:rsidRDefault="009B1438" w:rsidP="00E71900">
      <w:pPr>
        <w:autoSpaceDE w:val="0"/>
        <w:autoSpaceDN w:val="0"/>
        <w:adjustRightInd w:val="0"/>
        <w:spacing w:after="0" w:line="240" w:lineRule="auto"/>
        <w:rPr>
          <w:szCs w:val="22"/>
        </w:rPr>
      </w:pPr>
    </w:p>
    <w:p w:rsidR="00E71900" w:rsidRPr="00F90CB0" w:rsidRDefault="004129DC" w:rsidP="00E71900">
      <w:pPr>
        <w:autoSpaceDE w:val="0"/>
        <w:autoSpaceDN w:val="0"/>
        <w:adjustRightInd w:val="0"/>
        <w:spacing w:after="0" w:line="240" w:lineRule="auto"/>
        <w:rPr>
          <w:rFonts w:asciiTheme="minorHAnsi" w:hAnsiTheme="minorHAnsi" w:cstheme="minorHAnsi"/>
          <w:szCs w:val="22"/>
        </w:rPr>
      </w:pPr>
      <w:r w:rsidRPr="00F90CB0">
        <w:rPr>
          <w:rFonts w:asciiTheme="minorHAnsi" w:hAnsiTheme="minorHAnsi" w:cstheme="minorHAnsi"/>
          <w:szCs w:val="22"/>
        </w:rPr>
        <w:t>The interest charges applicable will be in line with the requirements set out in regulation 71 of the LGPS</w:t>
      </w:r>
      <w:r w:rsidRPr="00F90CB0">
        <w:rPr>
          <w:rFonts w:asciiTheme="minorHAnsi" w:hAnsiTheme="minorHAnsi" w:cstheme="minorHAnsi"/>
          <w:i/>
          <w:szCs w:val="22"/>
        </w:rPr>
        <w:t xml:space="preserve"> </w:t>
      </w:r>
      <w:r w:rsidRPr="00F90CB0">
        <w:rPr>
          <w:rFonts w:asciiTheme="minorHAnsi" w:hAnsiTheme="minorHAnsi" w:cstheme="minorHAnsi"/>
          <w:szCs w:val="22"/>
        </w:rPr>
        <w:t>Regulations 2013/2356</w:t>
      </w:r>
      <w:r>
        <w:rPr>
          <w:rFonts w:asciiTheme="minorHAnsi" w:hAnsiTheme="minorHAnsi" w:cstheme="minorHAnsi"/>
          <w:szCs w:val="22"/>
        </w:rPr>
        <w:t>. Under this arrangement any i</w:t>
      </w:r>
      <w:r w:rsidRPr="00F90CB0">
        <w:rPr>
          <w:rFonts w:asciiTheme="minorHAnsi" w:hAnsiTheme="minorHAnsi" w:cstheme="minorHAnsi"/>
          <w:szCs w:val="22"/>
        </w:rPr>
        <w:t>nterest payable</w:t>
      </w:r>
      <w:r>
        <w:rPr>
          <w:rFonts w:asciiTheme="minorHAnsi" w:hAnsiTheme="minorHAnsi" w:cstheme="minorHAnsi"/>
          <w:szCs w:val="22"/>
        </w:rPr>
        <w:t xml:space="preserve"> will </w:t>
      </w:r>
      <w:r w:rsidRPr="00F90CB0">
        <w:rPr>
          <w:rFonts w:asciiTheme="minorHAnsi" w:hAnsiTheme="minorHAnsi" w:cstheme="minorHAnsi"/>
          <w:szCs w:val="22"/>
        </w:rPr>
        <w:t>be calculated at one per cent above base rate on a day to day basis from the due date to the date of payment and compounded with three-monthly rests</w:t>
      </w:r>
      <w:r>
        <w:rPr>
          <w:rFonts w:asciiTheme="minorHAnsi" w:hAnsiTheme="minorHAnsi" w:cstheme="minorHAnsi"/>
          <w:szCs w:val="22"/>
        </w:rPr>
        <w:t>.</w:t>
      </w:r>
      <w:r w:rsidRPr="00F90CB0">
        <w:rPr>
          <w:rFonts w:asciiTheme="minorHAnsi" w:hAnsiTheme="minorHAnsi" w:cstheme="minorHAnsi"/>
          <w:szCs w:val="22"/>
        </w:rPr>
        <w:t xml:space="preserve">  </w:t>
      </w:r>
    </w:p>
    <w:p w:rsidR="00E71900" w:rsidRDefault="009B1438" w:rsidP="00E71900">
      <w:pPr>
        <w:autoSpaceDE w:val="0"/>
        <w:autoSpaceDN w:val="0"/>
        <w:adjustRightInd w:val="0"/>
        <w:spacing w:after="0" w:line="240" w:lineRule="auto"/>
        <w:rPr>
          <w:szCs w:val="22"/>
        </w:rPr>
      </w:pPr>
    </w:p>
    <w:p w:rsidR="00E71900" w:rsidRPr="00E71900" w:rsidRDefault="004129DC" w:rsidP="00E71900">
      <w:pPr>
        <w:autoSpaceDE w:val="0"/>
        <w:autoSpaceDN w:val="0"/>
        <w:adjustRightInd w:val="0"/>
        <w:spacing w:after="0" w:line="240" w:lineRule="auto"/>
        <w:rPr>
          <w:szCs w:val="22"/>
        </w:rPr>
      </w:pPr>
      <w:r w:rsidRPr="00E71900">
        <w:rPr>
          <w:szCs w:val="22"/>
        </w:rPr>
        <w:t xml:space="preserve">The Fund commits to processing model-based admissions within a month of first becoming aware of an impending admission, provided that all information needed to complete the admission has been provided to it at the outset of the process. </w:t>
      </w:r>
    </w:p>
    <w:p w:rsidR="00E71900" w:rsidRDefault="009B1438" w:rsidP="00E71900">
      <w:pPr>
        <w:autoSpaceDE w:val="0"/>
        <w:autoSpaceDN w:val="0"/>
        <w:adjustRightInd w:val="0"/>
        <w:spacing w:after="0" w:line="240" w:lineRule="auto"/>
        <w:rPr>
          <w:rFonts w:cs="Arial"/>
          <w:b/>
          <w:bCs/>
          <w:color w:val="000000"/>
          <w:sz w:val="23"/>
          <w:szCs w:val="23"/>
          <w:lang w:val="en-GB"/>
        </w:rPr>
      </w:pPr>
    </w:p>
    <w:p w:rsidR="00E71900" w:rsidRPr="00E71900" w:rsidRDefault="004129DC" w:rsidP="00E71900">
      <w:pPr>
        <w:autoSpaceDE w:val="0"/>
        <w:autoSpaceDN w:val="0"/>
        <w:adjustRightInd w:val="0"/>
        <w:spacing w:after="0" w:line="240" w:lineRule="auto"/>
        <w:rPr>
          <w:caps/>
          <w:color w:val="002C77"/>
          <w:spacing w:val="30"/>
          <w:szCs w:val="26"/>
        </w:rPr>
      </w:pPr>
      <w:r w:rsidRPr="00E71900">
        <w:rPr>
          <w:caps/>
          <w:color w:val="002C77"/>
          <w:spacing w:val="30"/>
          <w:szCs w:val="26"/>
        </w:rPr>
        <w:t xml:space="preserve">Recovery of Other Costs </w:t>
      </w:r>
    </w:p>
    <w:p w:rsidR="00E71900" w:rsidRDefault="009B1438" w:rsidP="00E71900">
      <w:pPr>
        <w:autoSpaceDE w:val="0"/>
        <w:autoSpaceDN w:val="0"/>
        <w:adjustRightInd w:val="0"/>
        <w:spacing w:after="0" w:line="240" w:lineRule="auto"/>
        <w:rPr>
          <w:szCs w:val="22"/>
        </w:rPr>
      </w:pPr>
    </w:p>
    <w:p w:rsidR="00E71900" w:rsidRPr="00E71900" w:rsidRDefault="004129DC" w:rsidP="00E71900">
      <w:pPr>
        <w:autoSpaceDE w:val="0"/>
        <w:autoSpaceDN w:val="0"/>
        <w:adjustRightInd w:val="0"/>
        <w:spacing w:after="0" w:line="240" w:lineRule="auto"/>
        <w:rPr>
          <w:szCs w:val="22"/>
        </w:rPr>
      </w:pPr>
      <w:r w:rsidRPr="00E71900">
        <w:rPr>
          <w:szCs w:val="22"/>
        </w:rPr>
        <w:t xml:space="preserve">Actuarial, Legal and any other costs incurred by LCPF in direct relation to an admission will be recovered from the new employer. </w:t>
      </w:r>
    </w:p>
    <w:p w:rsidR="00E71900" w:rsidRDefault="009B1438" w:rsidP="00E71900">
      <w:pPr>
        <w:autoSpaceDE w:val="0"/>
        <w:autoSpaceDN w:val="0"/>
        <w:adjustRightInd w:val="0"/>
        <w:spacing w:after="0" w:line="240" w:lineRule="auto"/>
        <w:rPr>
          <w:rFonts w:cs="Arial"/>
          <w:b/>
          <w:bCs/>
          <w:color w:val="000000"/>
          <w:sz w:val="28"/>
          <w:szCs w:val="28"/>
          <w:lang w:val="en-GB"/>
        </w:rPr>
      </w:pPr>
    </w:p>
    <w:p w:rsidR="00413BB3" w:rsidRDefault="009B1438" w:rsidP="00E71900">
      <w:pPr>
        <w:autoSpaceDE w:val="0"/>
        <w:autoSpaceDN w:val="0"/>
        <w:adjustRightInd w:val="0"/>
        <w:spacing w:after="0" w:line="240" w:lineRule="auto"/>
        <w:rPr>
          <w:b/>
          <w:caps/>
          <w:color w:val="002C77"/>
          <w:spacing w:val="30"/>
          <w:szCs w:val="26"/>
        </w:rPr>
      </w:pPr>
    </w:p>
    <w:p w:rsidR="00413BB3" w:rsidRDefault="009B1438" w:rsidP="00E71900">
      <w:pPr>
        <w:autoSpaceDE w:val="0"/>
        <w:autoSpaceDN w:val="0"/>
        <w:adjustRightInd w:val="0"/>
        <w:spacing w:after="0" w:line="240" w:lineRule="auto"/>
        <w:rPr>
          <w:b/>
          <w:caps/>
          <w:color w:val="002C77"/>
          <w:spacing w:val="30"/>
          <w:szCs w:val="26"/>
        </w:rPr>
      </w:pPr>
    </w:p>
    <w:p w:rsidR="00413BB3" w:rsidRDefault="009B1438" w:rsidP="00E71900">
      <w:pPr>
        <w:autoSpaceDE w:val="0"/>
        <w:autoSpaceDN w:val="0"/>
        <w:adjustRightInd w:val="0"/>
        <w:spacing w:after="0" w:line="240" w:lineRule="auto"/>
        <w:rPr>
          <w:b/>
          <w:caps/>
          <w:color w:val="002C77"/>
          <w:spacing w:val="30"/>
          <w:szCs w:val="26"/>
        </w:rPr>
      </w:pPr>
    </w:p>
    <w:p w:rsidR="00413BB3" w:rsidRDefault="009B1438" w:rsidP="00E71900">
      <w:pPr>
        <w:autoSpaceDE w:val="0"/>
        <w:autoSpaceDN w:val="0"/>
        <w:adjustRightInd w:val="0"/>
        <w:spacing w:after="0" w:line="240" w:lineRule="auto"/>
        <w:rPr>
          <w:b/>
          <w:caps/>
          <w:color w:val="002C77"/>
          <w:spacing w:val="30"/>
          <w:szCs w:val="26"/>
        </w:rPr>
      </w:pPr>
    </w:p>
    <w:p w:rsidR="00CF6C8B" w:rsidRDefault="009B1438" w:rsidP="00E71900">
      <w:pPr>
        <w:autoSpaceDE w:val="0"/>
        <w:autoSpaceDN w:val="0"/>
        <w:adjustRightInd w:val="0"/>
        <w:spacing w:after="0" w:line="240" w:lineRule="auto"/>
        <w:rPr>
          <w:b/>
          <w:caps/>
          <w:color w:val="002C77"/>
          <w:spacing w:val="30"/>
          <w:szCs w:val="26"/>
        </w:rPr>
      </w:pPr>
    </w:p>
    <w:p w:rsidR="00CF6C8B" w:rsidRDefault="009B1438" w:rsidP="00E71900">
      <w:pPr>
        <w:autoSpaceDE w:val="0"/>
        <w:autoSpaceDN w:val="0"/>
        <w:adjustRightInd w:val="0"/>
        <w:spacing w:after="0" w:line="240" w:lineRule="auto"/>
        <w:rPr>
          <w:b/>
          <w:caps/>
          <w:color w:val="002C77"/>
          <w:spacing w:val="30"/>
          <w:szCs w:val="26"/>
        </w:rPr>
      </w:pPr>
    </w:p>
    <w:p w:rsidR="00E71900" w:rsidRPr="00E71900" w:rsidRDefault="004129DC" w:rsidP="00E71900">
      <w:pPr>
        <w:autoSpaceDE w:val="0"/>
        <w:autoSpaceDN w:val="0"/>
        <w:adjustRightInd w:val="0"/>
        <w:spacing w:after="0" w:line="240" w:lineRule="auto"/>
        <w:rPr>
          <w:rFonts w:cs="Arial"/>
          <w:color w:val="000000"/>
          <w:sz w:val="28"/>
          <w:szCs w:val="28"/>
          <w:lang w:val="en-GB"/>
        </w:rPr>
      </w:pPr>
      <w:r w:rsidRPr="00E71900">
        <w:rPr>
          <w:b/>
          <w:caps/>
          <w:color w:val="002C77"/>
          <w:spacing w:val="30"/>
          <w:szCs w:val="26"/>
        </w:rPr>
        <w:lastRenderedPageBreak/>
        <w:t>E</w:t>
      </w:r>
      <w:r>
        <w:rPr>
          <w:b/>
          <w:caps/>
          <w:color w:val="002C77"/>
          <w:spacing w:val="30"/>
          <w:szCs w:val="26"/>
        </w:rPr>
        <w:t xml:space="preserve"> </w:t>
      </w:r>
      <w:r w:rsidRPr="00E71900">
        <w:rPr>
          <w:b/>
          <w:caps/>
          <w:color w:val="002C77"/>
          <w:spacing w:val="30"/>
          <w:szCs w:val="26"/>
        </w:rPr>
        <w:t>-</w:t>
      </w:r>
      <w:r>
        <w:rPr>
          <w:b/>
          <w:caps/>
          <w:color w:val="002C77"/>
          <w:spacing w:val="30"/>
          <w:szCs w:val="26"/>
        </w:rPr>
        <w:t xml:space="preserve"> </w:t>
      </w:r>
      <w:r w:rsidRPr="00E71900">
        <w:rPr>
          <w:b/>
          <w:caps/>
          <w:color w:val="002C77"/>
          <w:spacing w:val="30"/>
          <w:szCs w:val="26"/>
        </w:rPr>
        <w:t xml:space="preserve">Risk Management </w:t>
      </w:r>
    </w:p>
    <w:p w:rsidR="00572A2D" w:rsidRDefault="009B1438" w:rsidP="00E71900">
      <w:pPr>
        <w:autoSpaceDE w:val="0"/>
        <w:autoSpaceDN w:val="0"/>
        <w:adjustRightInd w:val="0"/>
        <w:spacing w:after="0" w:line="240" w:lineRule="auto"/>
        <w:rPr>
          <w:szCs w:val="22"/>
        </w:rPr>
      </w:pPr>
    </w:p>
    <w:p w:rsidR="00E71900" w:rsidRPr="00E71900" w:rsidRDefault="004129DC" w:rsidP="00E71900">
      <w:pPr>
        <w:autoSpaceDE w:val="0"/>
        <w:autoSpaceDN w:val="0"/>
        <w:adjustRightInd w:val="0"/>
        <w:spacing w:after="0" w:line="240" w:lineRule="auto"/>
        <w:rPr>
          <w:szCs w:val="22"/>
        </w:rPr>
      </w:pPr>
      <w:r w:rsidRPr="00E71900">
        <w:rPr>
          <w:szCs w:val="22"/>
        </w:rPr>
        <w:t>When an employer is admitted to the Fund, the regulations require that a risk assessment be carried out. The purpose of this risk assessment is to ensure that any liabilities which arise from the admission are paid for by the admitted employer.</w:t>
      </w:r>
    </w:p>
    <w:p w:rsidR="00E71900" w:rsidRDefault="009B1438" w:rsidP="00E71900">
      <w:pPr>
        <w:autoSpaceDE w:val="0"/>
        <w:autoSpaceDN w:val="0"/>
        <w:adjustRightInd w:val="0"/>
        <w:spacing w:after="0" w:line="240" w:lineRule="auto"/>
        <w:rPr>
          <w:szCs w:val="22"/>
        </w:rPr>
      </w:pPr>
    </w:p>
    <w:p w:rsidR="00E71900" w:rsidRPr="00E71900" w:rsidRDefault="004129DC" w:rsidP="00E71900">
      <w:pPr>
        <w:autoSpaceDE w:val="0"/>
        <w:autoSpaceDN w:val="0"/>
        <w:adjustRightInd w:val="0"/>
        <w:spacing w:after="0" w:line="240" w:lineRule="auto"/>
        <w:rPr>
          <w:szCs w:val="22"/>
        </w:rPr>
      </w:pPr>
      <w:r w:rsidRPr="00E71900">
        <w:rPr>
          <w:szCs w:val="22"/>
        </w:rPr>
        <w:t xml:space="preserve">Whilst circumstances can vary, in general terms, under a contracting out arrangement the transferring employer 'guarantees' the new employer's liabilities, in the event (due for example to insolvency) that any liabilities are not paid when due. Transferring employers can, in conjunction with LCPF, decide that security measures be put in place to mitigate against this risk. </w:t>
      </w:r>
    </w:p>
    <w:p w:rsidR="00E71900" w:rsidRDefault="009B1438" w:rsidP="00E71900">
      <w:pPr>
        <w:autoSpaceDE w:val="0"/>
        <w:autoSpaceDN w:val="0"/>
        <w:adjustRightInd w:val="0"/>
        <w:spacing w:after="0" w:line="240" w:lineRule="auto"/>
        <w:rPr>
          <w:szCs w:val="22"/>
        </w:rPr>
      </w:pPr>
    </w:p>
    <w:p w:rsidR="00E71900" w:rsidRPr="00E71900" w:rsidRDefault="004129DC" w:rsidP="00E71900">
      <w:pPr>
        <w:autoSpaceDE w:val="0"/>
        <w:autoSpaceDN w:val="0"/>
        <w:adjustRightInd w:val="0"/>
        <w:spacing w:after="0" w:line="240" w:lineRule="auto"/>
        <w:rPr>
          <w:szCs w:val="22"/>
        </w:rPr>
      </w:pPr>
      <w:r w:rsidRPr="00E71900">
        <w:rPr>
          <w:szCs w:val="22"/>
        </w:rPr>
        <w:t xml:space="preserve">Such matters require context and judgement in applying the regulations– for example if the potential liabilities are small in comparison to the transferring employer's financial strength, then the risk assessment and mitigation process may in itself be disproportionate, time consuming and costly relative to the risks involved. </w:t>
      </w:r>
    </w:p>
    <w:p w:rsidR="00E71900" w:rsidRDefault="009B1438" w:rsidP="00E71900">
      <w:pPr>
        <w:autoSpaceDE w:val="0"/>
        <w:autoSpaceDN w:val="0"/>
        <w:adjustRightInd w:val="0"/>
        <w:spacing w:after="0" w:line="240" w:lineRule="auto"/>
        <w:rPr>
          <w:szCs w:val="22"/>
        </w:rPr>
      </w:pPr>
    </w:p>
    <w:p w:rsidR="00E71900" w:rsidRPr="00E71900" w:rsidRDefault="004129DC" w:rsidP="00E71900">
      <w:pPr>
        <w:autoSpaceDE w:val="0"/>
        <w:autoSpaceDN w:val="0"/>
        <w:adjustRightInd w:val="0"/>
        <w:spacing w:after="0" w:line="240" w:lineRule="auto"/>
        <w:rPr>
          <w:szCs w:val="22"/>
        </w:rPr>
      </w:pPr>
      <w:r w:rsidRPr="00E71900">
        <w:rPr>
          <w:szCs w:val="22"/>
        </w:rPr>
        <w:t xml:space="preserve">The default position is that the Fund will carry out an assessment of risk, and will notify the transferring employer of this, but will only engage in active discussion with the transferring employer if it considers that security measures are required. If the transferring employer insists on security despite the Fund's viewpoint, then the work involved by the Fund in setting up and agreeing security measures will be charged at £35 per hour. </w:t>
      </w:r>
    </w:p>
    <w:p w:rsidR="00E71900" w:rsidRDefault="009B1438" w:rsidP="00E71900">
      <w:pPr>
        <w:autoSpaceDE w:val="0"/>
        <w:autoSpaceDN w:val="0"/>
        <w:adjustRightInd w:val="0"/>
        <w:spacing w:after="0" w:line="240" w:lineRule="auto"/>
        <w:rPr>
          <w:szCs w:val="22"/>
        </w:rPr>
      </w:pPr>
    </w:p>
    <w:p w:rsidR="00E71900" w:rsidRPr="00E71900" w:rsidRDefault="004129DC" w:rsidP="00E71900">
      <w:pPr>
        <w:autoSpaceDE w:val="0"/>
        <w:autoSpaceDN w:val="0"/>
        <w:adjustRightInd w:val="0"/>
        <w:spacing w:after="0" w:line="240" w:lineRule="auto"/>
        <w:rPr>
          <w:lang w:val="en-GB"/>
        </w:rPr>
      </w:pPr>
      <w:r w:rsidRPr="00E71900">
        <w:rPr>
          <w:szCs w:val="22"/>
        </w:rPr>
        <w:t xml:space="preserve">Where an aspirant admitted body joins the Fund under the exceptional circumstances route (as specified in section </w:t>
      </w:r>
      <w:r>
        <w:rPr>
          <w:szCs w:val="22"/>
        </w:rPr>
        <w:t>B</w:t>
      </w:r>
      <w:r w:rsidRPr="00E71900">
        <w:rPr>
          <w:szCs w:val="22"/>
        </w:rPr>
        <w:t>2 above) the Fund will carry out a risk assessment and will only accept the admission if is satisfied with the mitigation mechanism proposed</w:t>
      </w:r>
      <w:r w:rsidRPr="00E71900">
        <w:rPr>
          <w:rFonts w:cs="Arial"/>
          <w:color w:val="000000"/>
          <w:sz w:val="23"/>
          <w:szCs w:val="23"/>
          <w:lang w:val="en-GB"/>
        </w:rPr>
        <w:t>.</w:t>
      </w:r>
    </w:p>
    <w:p w:rsidR="00E71900" w:rsidRDefault="004129DC">
      <w:pPr>
        <w:spacing w:after="0" w:line="240" w:lineRule="auto"/>
        <w:rPr>
          <w:rFonts w:cs="Arial"/>
          <w:caps/>
          <w:color w:val="00A8C8"/>
          <w:spacing w:val="40"/>
          <w:sz w:val="36"/>
          <w:szCs w:val="24"/>
          <w:lang w:val="en-GB"/>
        </w:rPr>
      </w:pPr>
      <w:r>
        <w:rPr>
          <w:lang w:val="en-GB"/>
        </w:rPr>
        <w:br w:type="page"/>
      </w:r>
    </w:p>
    <w:p w:rsidR="00804AD4" w:rsidRDefault="004129DC" w:rsidP="008A55C7">
      <w:pPr>
        <w:pStyle w:val="AppendixSubtitle"/>
        <w:rPr>
          <w:lang w:val="en-GB"/>
        </w:rPr>
      </w:pPr>
      <w:r>
        <w:rPr>
          <w:lang w:val="en-GB"/>
        </w:rPr>
        <w:lastRenderedPageBreak/>
        <w:t>Glossary</w:t>
      </w:r>
    </w:p>
    <w:p w:rsidR="00DD59EF" w:rsidRPr="00DD59EF" w:rsidRDefault="004129DC" w:rsidP="00DD59EF">
      <w:pPr>
        <w:pStyle w:val="Questions"/>
      </w:pPr>
      <w:r w:rsidRPr="00DD59EF">
        <w:rPr>
          <w:rStyle w:val="QuoteChar"/>
          <w:rFonts w:ascii="Arial" w:hAnsi="Arial"/>
          <w:color w:val="00A8C8"/>
          <w:sz w:val="22"/>
        </w:rPr>
        <w:t>Actuarial Valuation:</w:t>
      </w:r>
      <w:r w:rsidRPr="00DD59EF">
        <w:t xml:space="preserve"> </w:t>
      </w:r>
    </w:p>
    <w:p w:rsidR="00AC6C5C" w:rsidRDefault="004129DC" w:rsidP="00AC6C5C">
      <w:pPr>
        <w:pStyle w:val="DocumentText"/>
        <w:rPr>
          <w:color w:val="auto"/>
          <w:lang w:val="en-GB"/>
        </w:rPr>
      </w:pPr>
      <w:r>
        <w:t>A</w:t>
      </w:r>
      <w:r w:rsidRPr="00A204D0">
        <w:t xml:space="preserve">n investigation by an actuary into the ability of the </w:t>
      </w:r>
      <w:r>
        <w:rPr>
          <w:rFonts w:cs="Arial"/>
        </w:rPr>
        <w:t>Fund</w:t>
      </w:r>
      <w:r w:rsidRPr="00A204D0">
        <w:t xml:space="preserve"> to meet its liabilities. For the LGPS the Fund Actuary will assess the funding level of each participating employer and agree contribution rates with the administering authority to fund the cost of new benefits and make good any existing deficits as set out in the separate Funding Strategy Statement. The asset value is based on market values at the valuation date.</w:t>
      </w:r>
    </w:p>
    <w:p w:rsidR="00DD59EF" w:rsidRPr="00DD59EF" w:rsidRDefault="004129DC" w:rsidP="00DD59EF">
      <w:pPr>
        <w:pStyle w:val="Questions"/>
        <w:rPr>
          <w:rStyle w:val="QuoteChar"/>
          <w:rFonts w:ascii="Arial" w:hAnsi="Arial"/>
          <w:color w:val="00A8C8"/>
          <w:sz w:val="22"/>
        </w:rPr>
      </w:pPr>
      <w:r w:rsidRPr="00DD59EF">
        <w:rPr>
          <w:rStyle w:val="QuoteChar"/>
          <w:rFonts w:ascii="Arial" w:hAnsi="Arial"/>
          <w:color w:val="00A8C8"/>
          <w:sz w:val="22"/>
        </w:rPr>
        <w:t xml:space="preserve">Administering Authority: </w:t>
      </w:r>
    </w:p>
    <w:p w:rsidR="00AC6C5C" w:rsidRPr="007A1B5B" w:rsidRDefault="004129DC" w:rsidP="00AC6C5C">
      <w:pPr>
        <w:rPr>
          <w:color w:val="auto"/>
          <w:szCs w:val="22"/>
          <w:lang w:val="en-GB"/>
        </w:rPr>
      </w:pPr>
      <w:r>
        <w:rPr>
          <w:szCs w:val="22"/>
        </w:rPr>
        <w:t>T</w:t>
      </w:r>
      <w:r w:rsidRPr="00A204D0">
        <w:rPr>
          <w:szCs w:val="22"/>
        </w:rPr>
        <w:t xml:space="preserve">he council with a statutory responsibility for running the </w:t>
      </w:r>
      <w:r>
        <w:rPr>
          <w:rFonts w:cs="Arial"/>
        </w:rPr>
        <w:t>Fund</w:t>
      </w:r>
      <w:r w:rsidRPr="00A204D0">
        <w:rPr>
          <w:szCs w:val="22"/>
        </w:rPr>
        <w:t xml:space="preserve"> and that is responsible for all aspects of its management and operation.</w:t>
      </w:r>
    </w:p>
    <w:p w:rsidR="00DD59EF" w:rsidRPr="00DD59EF" w:rsidRDefault="004129DC" w:rsidP="00DD59EF">
      <w:pPr>
        <w:pStyle w:val="Questions"/>
      </w:pPr>
      <w:r w:rsidRPr="00DD59EF">
        <w:rPr>
          <w:rStyle w:val="QuoteChar"/>
          <w:rFonts w:ascii="Arial" w:hAnsi="Arial"/>
          <w:color w:val="00A8C8"/>
          <w:sz w:val="22"/>
        </w:rPr>
        <w:t>Admission bodies:</w:t>
      </w:r>
      <w:r w:rsidRPr="00DD59EF">
        <w:t xml:space="preserve"> </w:t>
      </w:r>
    </w:p>
    <w:p w:rsidR="00AC6C5C" w:rsidRPr="00D85585" w:rsidRDefault="004129DC" w:rsidP="00AC6C5C">
      <w:pPr>
        <w:rPr>
          <w:rFonts w:cs="Arial"/>
        </w:rPr>
      </w:pPr>
      <w:r w:rsidRPr="00A204D0">
        <w:rPr>
          <w:szCs w:val="22"/>
        </w:rPr>
        <w:t xml:space="preserve">A specific type of employer under the Local Government Pension </w:t>
      </w:r>
      <w:r>
        <w:rPr>
          <w:szCs w:val="22"/>
        </w:rPr>
        <w:t>Scheme</w:t>
      </w:r>
      <w:r w:rsidRPr="00A204D0">
        <w:rPr>
          <w:szCs w:val="22"/>
        </w:rPr>
        <w:t xml:space="preserve"> (</w:t>
      </w:r>
      <w:r>
        <w:rPr>
          <w:szCs w:val="22"/>
        </w:rPr>
        <w:t>the “</w:t>
      </w:r>
      <w:r w:rsidRPr="00A204D0">
        <w:rPr>
          <w:szCs w:val="22"/>
        </w:rPr>
        <w:t>LGPS</w:t>
      </w:r>
      <w:r>
        <w:rPr>
          <w:szCs w:val="22"/>
        </w:rPr>
        <w:t>”</w:t>
      </w:r>
      <w:r w:rsidRPr="00A204D0">
        <w:rPr>
          <w:szCs w:val="22"/>
        </w:rPr>
        <w:t xml:space="preserve">) who do not automatically qualify for participation in the </w:t>
      </w:r>
      <w:r>
        <w:rPr>
          <w:rFonts w:cs="Arial"/>
        </w:rPr>
        <w:t>Fund</w:t>
      </w:r>
      <w:r w:rsidRPr="00A204D0">
        <w:rPr>
          <w:szCs w:val="22"/>
        </w:rPr>
        <w:t xml:space="preserve"> but are allowed to join if they satisfy the relevant criteria set out in the Regulations.</w:t>
      </w:r>
      <w:r w:rsidRPr="00D85585">
        <w:rPr>
          <w:rFonts w:cs="Arial"/>
        </w:rPr>
        <w:t xml:space="preserve"> </w:t>
      </w:r>
    </w:p>
    <w:p w:rsidR="00A56BCD" w:rsidRPr="00A56BCD" w:rsidRDefault="004129DC" w:rsidP="00A56BCD">
      <w:pPr>
        <w:pStyle w:val="Questions"/>
      </w:pPr>
      <w:r w:rsidRPr="00A56BCD">
        <w:rPr>
          <w:rStyle w:val="QuoteChar"/>
          <w:rFonts w:ascii="Arial" w:hAnsi="Arial"/>
          <w:color w:val="00A8C8"/>
          <w:sz w:val="22"/>
        </w:rPr>
        <w:t>CPI:</w:t>
      </w:r>
    </w:p>
    <w:p w:rsidR="00AC6C5C" w:rsidRDefault="004129DC" w:rsidP="00AC6C5C">
      <w:pPr>
        <w:pStyle w:val="DocumentText"/>
      </w:pPr>
      <w:r>
        <w:t>A</w:t>
      </w:r>
      <w:r w:rsidRPr="00A204D0">
        <w:t>cronym standing for “Consumer Prices Index”. CPI is a measure of inflation with a basket of goods that is assessed on an annual basis. The reference goods and services differ from those of RPI. These goods are expected to provide lower, less volatile inflation increases. Pension increases in the LGPS are linked to the annual change in CPI.</w:t>
      </w:r>
    </w:p>
    <w:p w:rsidR="003332BA" w:rsidRPr="00A56BCD" w:rsidRDefault="004129DC" w:rsidP="003332BA">
      <w:pPr>
        <w:pStyle w:val="Questions"/>
        <w:rPr>
          <w:rStyle w:val="QuoteChar"/>
          <w:rFonts w:ascii="Arial" w:hAnsi="Arial"/>
          <w:color w:val="00A8C8"/>
          <w:sz w:val="22"/>
        </w:rPr>
      </w:pPr>
      <w:r>
        <w:rPr>
          <w:rStyle w:val="QuoteChar"/>
          <w:rFonts w:ascii="Arial" w:hAnsi="Arial"/>
          <w:color w:val="00A8C8"/>
          <w:sz w:val="22"/>
        </w:rPr>
        <w:t>Corporate bond</w:t>
      </w:r>
      <w:r w:rsidRPr="00A56BCD">
        <w:rPr>
          <w:rStyle w:val="QuoteChar"/>
          <w:rFonts w:ascii="Arial" w:hAnsi="Arial"/>
          <w:color w:val="00A8C8"/>
          <w:sz w:val="22"/>
        </w:rPr>
        <w:t xml:space="preserve"> basis:</w:t>
      </w:r>
    </w:p>
    <w:p w:rsidR="003332BA" w:rsidRDefault="004129DC" w:rsidP="003332BA">
      <w:pPr>
        <w:pStyle w:val="DocumentText"/>
      </w:pPr>
      <w:r>
        <w:t>An</w:t>
      </w:r>
      <w:r w:rsidRPr="00F67252">
        <w:t xml:space="preserve"> approach where the discount rate used to assess the liabilities is determined based on the yields of </w:t>
      </w:r>
      <w:r>
        <w:t>AA-rated corporate bond</w:t>
      </w:r>
      <w:r w:rsidRPr="00F67252">
        <w:t xml:space="preserve"> investments based on the appropriate duration of the liabilities being assessed.  This </w:t>
      </w:r>
      <w:r>
        <w:t xml:space="preserve">may be adopted for employer accounting purposes, and also </w:t>
      </w:r>
      <w:r w:rsidRPr="00F67252">
        <w:t>is usually adopted when an employer is exiting the Fund.</w:t>
      </w:r>
    </w:p>
    <w:p w:rsidR="00A56BCD" w:rsidRPr="00A56BCD" w:rsidRDefault="004129DC" w:rsidP="00A56BCD">
      <w:pPr>
        <w:pStyle w:val="Questions"/>
      </w:pPr>
      <w:r w:rsidRPr="00A56BCD">
        <w:rPr>
          <w:rStyle w:val="QuoteChar"/>
          <w:rFonts w:ascii="Arial" w:hAnsi="Arial"/>
          <w:color w:val="00A8C8"/>
          <w:sz w:val="22"/>
        </w:rPr>
        <w:t>Covenant:</w:t>
      </w:r>
      <w:r w:rsidRPr="00A56BCD">
        <w:t xml:space="preserve"> </w:t>
      </w:r>
    </w:p>
    <w:p w:rsidR="00AC6C5C" w:rsidRPr="00A204D0" w:rsidRDefault="004129DC" w:rsidP="00AC6C5C">
      <w:pPr>
        <w:pStyle w:val="DocumentText"/>
      </w:pPr>
      <w:r>
        <w:t>T</w:t>
      </w:r>
      <w:r w:rsidRPr="00A204D0">
        <w:t>he assessed financial strength of the employer. A strong covenant indicates a greater ability (and willingness) to pay for pension obligations in the long run. A weaker covenant means that it appears that the employer may have difficulties meeting its pension obligations in full over the longer term or affordability constraints in the short term.</w:t>
      </w:r>
    </w:p>
    <w:p w:rsidR="00A56BCD" w:rsidRPr="00A56BCD" w:rsidRDefault="004129DC" w:rsidP="00A56BCD">
      <w:pPr>
        <w:pStyle w:val="Questions"/>
      </w:pPr>
      <w:r w:rsidRPr="00A56BCD">
        <w:rPr>
          <w:rStyle w:val="QuoteChar"/>
          <w:rFonts w:ascii="Arial" w:hAnsi="Arial"/>
          <w:color w:val="00A8C8"/>
          <w:sz w:val="22"/>
        </w:rPr>
        <w:t>Deficit:</w:t>
      </w:r>
      <w:r w:rsidRPr="00A56BCD">
        <w:t xml:space="preserve"> </w:t>
      </w:r>
    </w:p>
    <w:p w:rsidR="00AC6C5C" w:rsidRPr="00A204D0" w:rsidRDefault="004129DC" w:rsidP="00AC6C5C">
      <w:pPr>
        <w:pStyle w:val="DocumentText"/>
      </w:pPr>
      <w:r>
        <w:t>T</w:t>
      </w:r>
      <w:r w:rsidRPr="00A204D0">
        <w:t>he extent to which the value of the Fund’s past service liabilities exceeds the value of the Fund’s assets. This relates to assets and liabilities built up to date, and ignores the future build-up of pension (which in effect is assumed to be met by future contributions).</w:t>
      </w:r>
    </w:p>
    <w:p w:rsidR="00A56BCD" w:rsidRPr="00A56BCD" w:rsidRDefault="004129DC" w:rsidP="00A56BCD">
      <w:pPr>
        <w:pStyle w:val="Questions"/>
        <w:rPr>
          <w:rStyle w:val="QuoteChar"/>
          <w:rFonts w:ascii="Arial" w:hAnsi="Arial"/>
          <w:color w:val="00A8C8"/>
          <w:sz w:val="22"/>
        </w:rPr>
      </w:pPr>
      <w:r w:rsidRPr="00A56BCD">
        <w:rPr>
          <w:rStyle w:val="QuoteChar"/>
          <w:rFonts w:ascii="Arial" w:hAnsi="Arial"/>
          <w:color w:val="00A8C8"/>
          <w:sz w:val="22"/>
        </w:rPr>
        <w:t>Deficit recovery period:</w:t>
      </w:r>
    </w:p>
    <w:p w:rsidR="00AC6C5C" w:rsidRPr="00A204D0" w:rsidRDefault="004129DC" w:rsidP="00AC6C5C">
      <w:pPr>
        <w:pStyle w:val="DocumentText"/>
      </w:pPr>
      <w:r>
        <w:t>T</w:t>
      </w:r>
      <w:r w:rsidRPr="00A204D0">
        <w:t>he target length of time over which the current deficit is intended to be paid off. A shorter period will give rise to a higher annual contribution, and vice versa.</w:t>
      </w:r>
    </w:p>
    <w:p w:rsidR="00A56BCD" w:rsidRPr="00A56BCD" w:rsidRDefault="004129DC" w:rsidP="00A56BCD">
      <w:pPr>
        <w:pStyle w:val="Questions"/>
        <w:rPr>
          <w:rStyle w:val="QuoteChar"/>
          <w:rFonts w:ascii="Arial" w:hAnsi="Arial"/>
          <w:color w:val="00A8C8"/>
          <w:sz w:val="22"/>
        </w:rPr>
      </w:pPr>
      <w:r w:rsidRPr="00A56BCD">
        <w:rPr>
          <w:rStyle w:val="QuoteChar"/>
          <w:rFonts w:ascii="Arial" w:hAnsi="Arial"/>
          <w:color w:val="00A8C8"/>
          <w:sz w:val="22"/>
        </w:rPr>
        <w:t>Discount Rate:</w:t>
      </w:r>
    </w:p>
    <w:p w:rsidR="00AC6C5C" w:rsidRPr="00A204D0" w:rsidRDefault="004129DC" w:rsidP="00AC6C5C">
      <w:pPr>
        <w:pStyle w:val="DocumentText"/>
      </w:pPr>
      <w:r>
        <w:t>T</w:t>
      </w:r>
      <w:r w:rsidRPr="00A204D0">
        <w:t>he rate of interest used to convert a cash amount e.g. future benefit payments occurring in the future to a present value.</w:t>
      </w:r>
    </w:p>
    <w:p w:rsidR="003332BA" w:rsidRDefault="009B1438" w:rsidP="00A56BCD">
      <w:pPr>
        <w:pStyle w:val="Questions"/>
        <w:rPr>
          <w:rStyle w:val="QuoteChar"/>
          <w:rFonts w:ascii="Arial" w:hAnsi="Arial"/>
          <w:color w:val="00A8C8"/>
          <w:sz w:val="22"/>
        </w:rPr>
      </w:pPr>
    </w:p>
    <w:p w:rsidR="00A56BCD" w:rsidRPr="00A56BCD" w:rsidRDefault="004129DC" w:rsidP="00A56BCD">
      <w:pPr>
        <w:pStyle w:val="Questions"/>
      </w:pPr>
      <w:r w:rsidRPr="00A56BCD">
        <w:rPr>
          <w:rStyle w:val="QuoteChar"/>
          <w:rFonts w:ascii="Arial" w:hAnsi="Arial"/>
          <w:color w:val="00A8C8"/>
          <w:sz w:val="22"/>
        </w:rPr>
        <w:lastRenderedPageBreak/>
        <w:t>Employer's Future Service Contribution Rate:</w:t>
      </w:r>
    </w:p>
    <w:p w:rsidR="00AC6C5C" w:rsidRPr="00A204D0" w:rsidRDefault="004129DC" w:rsidP="00AC6C5C">
      <w:pPr>
        <w:pStyle w:val="DocumentText"/>
      </w:pPr>
      <w:r>
        <w:t>T</w:t>
      </w:r>
      <w:r w:rsidRPr="00A204D0">
        <w:t>he contribution rate payable by an employer, expressed as a % of pensionable pay, as being sufficient to meet the cost of new benefits being accrued by active members in the future. The cost will be net of employee contributions and will include an allowance for the expected level of administrative expenses.</w:t>
      </w:r>
    </w:p>
    <w:p w:rsidR="00A56BCD" w:rsidRPr="00A56BCD" w:rsidRDefault="004129DC" w:rsidP="00A56BCD">
      <w:pPr>
        <w:pStyle w:val="Questions"/>
      </w:pPr>
      <w:r>
        <w:rPr>
          <w:rStyle w:val="QuoteChar"/>
          <w:rFonts w:ascii="Arial" w:hAnsi="Arial"/>
          <w:color w:val="00A8C8"/>
          <w:sz w:val="22"/>
        </w:rPr>
        <w:t>Scheme employers</w:t>
      </w:r>
      <w:r w:rsidRPr="00A56BCD">
        <w:rPr>
          <w:rStyle w:val="QuoteChar"/>
          <w:rFonts w:ascii="Arial" w:hAnsi="Arial"/>
          <w:color w:val="00A8C8"/>
          <w:sz w:val="22"/>
        </w:rPr>
        <w:t>:</w:t>
      </w:r>
      <w:r w:rsidRPr="00A56BCD">
        <w:t xml:space="preserve"> </w:t>
      </w:r>
    </w:p>
    <w:p w:rsidR="00AC6C5C" w:rsidRPr="00A204D0" w:rsidRDefault="004129DC" w:rsidP="00AC6C5C">
      <w:pPr>
        <w:rPr>
          <w:szCs w:val="22"/>
        </w:rPr>
      </w:pPr>
      <w:r>
        <w:rPr>
          <w:szCs w:val="22"/>
        </w:rPr>
        <w:t>A</w:t>
      </w:r>
      <w:r w:rsidRPr="00A204D0">
        <w:rPr>
          <w:szCs w:val="22"/>
        </w:rPr>
        <w:t>ny organisation that participates in the LGPS, including admission bodies.</w:t>
      </w:r>
    </w:p>
    <w:p w:rsidR="00A56BCD" w:rsidRPr="00A56BCD" w:rsidRDefault="004129DC" w:rsidP="00A56BCD">
      <w:pPr>
        <w:pStyle w:val="Questions"/>
        <w:rPr>
          <w:rStyle w:val="QuoteChar"/>
          <w:rFonts w:ascii="Arial" w:hAnsi="Arial"/>
          <w:color w:val="00A8C8"/>
          <w:sz w:val="22"/>
        </w:rPr>
      </w:pPr>
      <w:r w:rsidRPr="00A56BCD">
        <w:rPr>
          <w:rStyle w:val="QuoteChar"/>
          <w:rFonts w:ascii="Arial" w:hAnsi="Arial"/>
          <w:color w:val="00A8C8"/>
          <w:sz w:val="22"/>
        </w:rPr>
        <w:t>Funding or solvency Level:</w:t>
      </w:r>
    </w:p>
    <w:p w:rsidR="00AC6C5C" w:rsidRPr="00A204D0" w:rsidRDefault="004129DC" w:rsidP="00AC6C5C">
      <w:pPr>
        <w:pStyle w:val="DocumentText"/>
      </w:pPr>
      <w:r>
        <w:t>T</w:t>
      </w:r>
      <w:r w:rsidRPr="00A204D0">
        <w:t>he ratio of the value of the Fund’s assets and the value of the Fund’s liabilities expressed as a percentage.</w:t>
      </w:r>
    </w:p>
    <w:p w:rsidR="00A56BCD" w:rsidRPr="00A56BCD" w:rsidRDefault="004129DC" w:rsidP="00A56BCD">
      <w:pPr>
        <w:pStyle w:val="Questions"/>
        <w:rPr>
          <w:rStyle w:val="QuoteChar"/>
          <w:rFonts w:ascii="Arial" w:hAnsi="Arial"/>
          <w:color w:val="00A8C8"/>
          <w:sz w:val="22"/>
        </w:rPr>
      </w:pPr>
      <w:r w:rsidRPr="00A56BCD">
        <w:rPr>
          <w:rStyle w:val="QuoteChar"/>
          <w:rFonts w:ascii="Arial" w:hAnsi="Arial"/>
          <w:color w:val="00A8C8"/>
          <w:sz w:val="22"/>
        </w:rPr>
        <w:t>Funding Strategy Statement:</w:t>
      </w:r>
    </w:p>
    <w:p w:rsidR="00AC6C5C" w:rsidRPr="00A204D0" w:rsidRDefault="004129DC" w:rsidP="00AC6C5C">
      <w:pPr>
        <w:pStyle w:val="DocumentText"/>
      </w:pPr>
      <w:r>
        <w:t>T</w:t>
      </w:r>
      <w:r w:rsidRPr="00A204D0">
        <w:t>his is a key governance document that outlines how the administering authority will manage employer’s contributions and risks to the Fund.</w:t>
      </w:r>
    </w:p>
    <w:p w:rsidR="00A56BCD" w:rsidRPr="00A56BCD" w:rsidRDefault="004129DC" w:rsidP="00A56BCD">
      <w:pPr>
        <w:pStyle w:val="Questions"/>
      </w:pPr>
      <w:r w:rsidRPr="00A56BCD">
        <w:rPr>
          <w:rStyle w:val="QuoteChar"/>
          <w:rFonts w:ascii="Arial" w:hAnsi="Arial"/>
          <w:color w:val="00A8C8"/>
          <w:sz w:val="22"/>
        </w:rPr>
        <w:t>Guarantee/guarantor:</w:t>
      </w:r>
      <w:r w:rsidRPr="00A56BCD">
        <w:t xml:space="preserve"> </w:t>
      </w:r>
    </w:p>
    <w:p w:rsidR="00AC6C5C" w:rsidRPr="00A204D0" w:rsidRDefault="004129DC" w:rsidP="00AC6C5C">
      <w:pPr>
        <w:pStyle w:val="DocumentText"/>
      </w:pPr>
      <w:r>
        <w:t>A</w:t>
      </w:r>
      <w:r w:rsidRPr="00A204D0">
        <w:t xml:space="preserve"> formal promise by a third party (the guarantor) that it will meet any pension obligations not met by a specified employer. The presence of a guarantor will mean, for instance, that the Fund can consider the employer’s covenant to be as strong as its guarantor</w:t>
      </w:r>
      <w:r>
        <w:t>’</w:t>
      </w:r>
      <w:r w:rsidRPr="00A204D0">
        <w:t xml:space="preserve">s. </w:t>
      </w:r>
    </w:p>
    <w:p w:rsidR="00A56BCD" w:rsidRPr="00A56BCD" w:rsidRDefault="004129DC" w:rsidP="00A56BCD">
      <w:pPr>
        <w:pStyle w:val="Questions"/>
        <w:rPr>
          <w:rStyle w:val="QuoteChar"/>
          <w:rFonts w:ascii="Arial" w:hAnsi="Arial"/>
          <w:color w:val="00A8C8"/>
          <w:sz w:val="22"/>
        </w:rPr>
      </w:pPr>
      <w:r w:rsidRPr="00A56BCD">
        <w:rPr>
          <w:rStyle w:val="QuoteChar"/>
          <w:rFonts w:ascii="Arial" w:hAnsi="Arial"/>
          <w:color w:val="00A8C8"/>
          <w:sz w:val="22"/>
        </w:rPr>
        <w:t>Letting</w:t>
      </w:r>
      <w:r>
        <w:rPr>
          <w:rStyle w:val="QuoteChar"/>
          <w:rFonts w:ascii="Arial" w:hAnsi="Arial"/>
          <w:color w:val="00A8C8"/>
          <w:sz w:val="22"/>
        </w:rPr>
        <w:t xml:space="preserve">/transferring </w:t>
      </w:r>
      <w:r w:rsidRPr="00A56BCD">
        <w:rPr>
          <w:rStyle w:val="QuoteChar"/>
          <w:rFonts w:ascii="Arial" w:hAnsi="Arial"/>
          <w:color w:val="00A8C8"/>
          <w:sz w:val="22"/>
        </w:rPr>
        <w:t>employer:</w:t>
      </w:r>
    </w:p>
    <w:p w:rsidR="00AC6C5C" w:rsidRPr="00A204D0" w:rsidRDefault="004129DC" w:rsidP="00AC6C5C">
      <w:pPr>
        <w:rPr>
          <w:rStyle w:val="DocumentTextChar"/>
        </w:rPr>
      </w:pPr>
      <w:r>
        <w:rPr>
          <w:rStyle w:val="DocumentTextChar"/>
        </w:rPr>
        <w:t>A</w:t>
      </w:r>
      <w:r w:rsidRPr="00A204D0">
        <w:rPr>
          <w:rStyle w:val="DocumentTextChar"/>
        </w:rPr>
        <w:t xml:space="preserve">n employer that outsources part of its services/workforce to another employer, usually a contractor. The contractor will pay towards the LGPS benefits accrued by the transferring members, but ultimately the obligation to pay for these benefits will revert to the letting employer. </w:t>
      </w:r>
    </w:p>
    <w:p w:rsidR="00A56BCD" w:rsidRPr="00A56BCD" w:rsidRDefault="004129DC" w:rsidP="00A56BCD">
      <w:pPr>
        <w:pStyle w:val="Questions"/>
      </w:pPr>
      <w:r w:rsidRPr="00A56BCD">
        <w:rPr>
          <w:rStyle w:val="QuoteChar"/>
          <w:rFonts w:ascii="Arial" w:hAnsi="Arial"/>
          <w:color w:val="00A8C8"/>
          <w:sz w:val="22"/>
        </w:rPr>
        <w:t>Liabilities:</w:t>
      </w:r>
      <w:r w:rsidRPr="00A56BCD">
        <w:t xml:space="preserve"> </w:t>
      </w:r>
    </w:p>
    <w:p w:rsidR="00AC6C5C" w:rsidRDefault="004129DC" w:rsidP="00AC6C5C">
      <w:pPr>
        <w:rPr>
          <w:color w:val="auto"/>
          <w:szCs w:val="22"/>
          <w:lang w:val="en-GB"/>
        </w:rPr>
      </w:pPr>
      <w:r>
        <w:rPr>
          <w:rStyle w:val="DocumentTextChar"/>
        </w:rPr>
        <w:t>T</w:t>
      </w:r>
      <w:r w:rsidRPr="00A204D0">
        <w:rPr>
          <w:rStyle w:val="DocumentTextChar"/>
        </w:rPr>
        <w:t xml:space="preserve">he actuarially calculated present value of all benefit entitlements i.e. </w:t>
      </w:r>
      <w:r>
        <w:rPr>
          <w:rStyle w:val="DocumentTextChar"/>
        </w:rPr>
        <w:t>Fund</w:t>
      </w:r>
      <w:r w:rsidRPr="00A204D0">
        <w:rPr>
          <w:rStyle w:val="DocumentTextChar"/>
        </w:rPr>
        <w:t xml:space="preserve"> cashflows of all members of the Fund, built up to date or in the future. The liabilities in relation to the benefit entitlements earned up to the valuation date are compared with the present market value of Fund assets to derive the deficit and funding/solvency level. Liabilities can be assessed on different set of actuarial assumptions depending on the purpose of the valuation.</w:t>
      </w:r>
    </w:p>
    <w:p w:rsidR="00A56BCD" w:rsidRPr="00A56BCD" w:rsidRDefault="004129DC" w:rsidP="00A56BCD">
      <w:pPr>
        <w:pStyle w:val="Questions"/>
      </w:pPr>
      <w:r w:rsidRPr="00A56BCD">
        <w:rPr>
          <w:rStyle w:val="QuoteChar"/>
          <w:rFonts w:ascii="Arial" w:hAnsi="Arial"/>
          <w:color w:val="00A8C8"/>
          <w:sz w:val="22"/>
        </w:rPr>
        <w:t>LGPS:</w:t>
      </w:r>
      <w:r w:rsidRPr="00A56BCD">
        <w:t xml:space="preserve"> </w:t>
      </w:r>
    </w:p>
    <w:p w:rsidR="00AC6C5C" w:rsidRDefault="004129DC" w:rsidP="00AC6C5C">
      <w:pPr>
        <w:rPr>
          <w:color w:val="auto"/>
          <w:szCs w:val="22"/>
          <w:lang w:val="en-GB"/>
        </w:rPr>
      </w:pPr>
      <w:r>
        <w:rPr>
          <w:rStyle w:val="DocumentTextChar"/>
        </w:rPr>
        <w:t>T</w:t>
      </w:r>
      <w:r w:rsidRPr="00A204D0">
        <w:rPr>
          <w:rStyle w:val="DocumentTextChar"/>
        </w:rPr>
        <w:t xml:space="preserve">he Local Government Pension Scheme, a public sector pension arrangement put in place via Government Regulations, for workers in local government. These Regulations also dictate eligibility (particularly for Scheduled Bodies), members’ contribution rates, benefit calculations and certain governance requirements. </w:t>
      </w:r>
    </w:p>
    <w:p w:rsidR="00A56BCD" w:rsidRPr="00A56BCD" w:rsidRDefault="004129DC" w:rsidP="00A56BCD">
      <w:pPr>
        <w:pStyle w:val="Questions"/>
      </w:pPr>
      <w:r w:rsidRPr="00A56BCD">
        <w:rPr>
          <w:rStyle w:val="QuoteChar"/>
          <w:rFonts w:ascii="Arial" w:hAnsi="Arial"/>
          <w:color w:val="00A8C8"/>
          <w:sz w:val="22"/>
        </w:rPr>
        <w:t>Members:</w:t>
      </w:r>
      <w:r w:rsidRPr="00A56BCD">
        <w:t xml:space="preserve"> </w:t>
      </w:r>
    </w:p>
    <w:p w:rsidR="00AC6C5C" w:rsidRDefault="004129DC" w:rsidP="00AC6C5C">
      <w:pPr>
        <w:rPr>
          <w:rStyle w:val="DocumentTextChar"/>
        </w:rPr>
      </w:pPr>
      <w:r w:rsidRPr="00A204D0">
        <w:rPr>
          <w:rStyle w:val="DocumentTextChar"/>
        </w:rPr>
        <w:t>The individuals who have built up (and may still be building up) entitlement in the Fund. They are divided into actives (current employee members), deferreds (ex-employees who have not yet retired) and pensioners (ex-employees who have now retired, and dependants of deceased ex-employees).</w:t>
      </w:r>
    </w:p>
    <w:p w:rsidR="00112163" w:rsidRPr="00A56BCD" w:rsidRDefault="004129DC" w:rsidP="00112163">
      <w:pPr>
        <w:pStyle w:val="Questions"/>
        <w:rPr>
          <w:rStyle w:val="QuoteChar"/>
          <w:rFonts w:ascii="Arial" w:hAnsi="Arial"/>
          <w:color w:val="00A8C8"/>
          <w:sz w:val="22"/>
        </w:rPr>
      </w:pPr>
      <w:r w:rsidRPr="00A56BCD">
        <w:rPr>
          <w:rStyle w:val="QuoteChar"/>
          <w:rFonts w:ascii="Arial" w:hAnsi="Arial"/>
          <w:color w:val="00A8C8"/>
          <w:sz w:val="22"/>
        </w:rPr>
        <w:t>Minimum risk basis:</w:t>
      </w:r>
    </w:p>
    <w:p w:rsidR="00112163" w:rsidRPr="00A204D0" w:rsidRDefault="004129DC" w:rsidP="00112163">
      <w:pPr>
        <w:rPr>
          <w:rStyle w:val="DocumentTextChar"/>
        </w:rPr>
      </w:pPr>
      <w:r>
        <w:t>An</w:t>
      </w:r>
      <w:r w:rsidRPr="00F67252">
        <w:t xml:space="preserve"> approach where the discount rate used to assess the liabilities is determined based on the market yields of Government bond investments based on the appropriate duration of the liabilities being assessed.  This </w:t>
      </w:r>
      <w:r>
        <w:t>may sometimes be</w:t>
      </w:r>
      <w:r w:rsidRPr="00F67252">
        <w:t xml:space="preserve"> adopted when an employer is exiting the Fund.</w:t>
      </w:r>
    </w:p>
    <w:p w:rsidR="00A56BCD" w:rsidRPr="00A56BCD" w:rsidRDefault="004129DC" w:rsidP="00A56BCD">
      <w:pPr>
        <w:pStyle w:val="Questions"/>
      </w:pPr>
      <w:r w:rsidRPr="00A56BCD">
        <w:rPr>
          <w:rStyle w:val="QuoteChar"/>
          <w:rFonts w:ascii="Arial" w:hAnsi="Arial"/>
          <w:color w:val="00A8C8"/>
          <w:sz w:val="22"/>
        </w:rPr>
        <w:lastRenderedPageBreak/>
        <w:t>Orphan liabilities:</w:t>
      </w:r>
      <w:r w:rsidRPr="00A56BCD">
        <w:t xml:space="preserve"> </w:t>
      </w:r>
    </w:p>
    <w:p w:rsidR="00AC6C5C" w:rsidRDefault="004129DC" w:rsidP="00AC6C5C">
      <w:pPr>
        <w:rPr>
          <w:rStyle w:val="DocumentTextChar"/>
        </w:rPr>
      </w:pPr>
      <w:r>
        <w:rPr>
          <w:rStyle w:val="DocumentTextChar"/>
        </w:rPr>
        <w:t>L</w:t>
      </w:r>
      <w:r w:rsidRPr="00A204D0">
        <w:rPr>
          <w:rStyle w:val="DocumentTextChar"/>
        </w:rPr>
        <w:t xml:space="preserve">iabilities in the </w:t>
      </w:r>
      <w:r>
        <w:rPr>
          <w:rStyle w:val="DocumentTextChar"/>
        </w:rPr>
        <w:t>Fund</w:t>
      </w:r>
      <w:r w:rsidRPr="00A204D0">
        <w:rPr>
          <w:rStyle w:val="DocumentTextChar"/>
        </w:rPr>
        <w:t xml:space="preserve"> for which there is no sponsoring employer within the Fund. Ultimately orphan liabilities must be underwritten by all other employers in the Fund.</w:t>
      </w:r>
    </w:p>
    <w:p w:rsidR="00A56BCD" w:rsidRPr="00A56BCD" w:rsidRDefault="004129DC" w:rsidP="00A56BCD">
      <w:pPr>
        <w:pStyle w:val="Questions"/>
      </w:pPr>
      <w:r w:rsidRPr="00A56BCD">
        <w:rPr>
          <w:rStyle w:val="QuoteChar"/>
          <w:rFonts w:ascii="Arial" w:hAnsi="Arial"/>
          <w:color w:val="00A8C8"/>
          <w:sz w:val="22"/>
        </w:rPr>
        <w:t>Recovery Plan:</w:t>
      </w:r>
      <w:r w:rsidRPr="00A56BCD">
        <w:t xml:space="preserve"> </w:t>
      </w:r>
    </w:p>
    <w:p w:rsidR="00AC6C5C" w:rsidRDefault="004129DC" w:rsidP="00AC6C5C">
      <w:pPr>
        <w:pStyle w:val="DocumentText"/>
      </w:pPr>
      <w:r>
        <w:t>A</w:t>
      </w:r>
      <w:r w:rsidRPr="00A204D0">
        <w:t xml:space="preserve"> strategy by which an employer will make up a funding deficit over a specified period of time (“the recovery period”), as set out in the Funding Strategy Statement.</w:t>
      </w:r>
    </w:p>
    <w:p w:rsidR="00A56BCD" w:rsidRPr="00A56BCD" w:rsidRDefault="004129DC" w:rsidP="00A56BCD">
      <w:pPr>
        <w:pStyle w:val="Questions"/>
      </w:pPr>
      <w:r w:rsidRPr="00A56BCD">
        <w:rPr>
          <w:rStyle w:val="QuoteChar"/>
          <w:rFonts w:ascii="Arial" w:hAnsi="Arial"/>
          <w:color w:val="00A8C8"/>
          <w:sz w:val="22"/>
        </w:rPr>
        <w:t>Scheduled bodies:</w:t>
      </w:r>
      <w:r w:rsidRPr="00A56BCD">
        <w:t xml:space="preserve"> </w:t>
      </w:r>
    </w:p>
    <w:p w:rsidR="00AC6C5C" w:rsidRDefault="004129DC" w:rsidP="00AC6C5C">
      <w:pPr>
        <w:pStyle w:val="DocumentText"/>
      </w:pPr>
      <w:r>
        <w:rPr>
          <w:rStyle w:val="DocumentTextChar"/>
        </w:rPr>
        <w:t>E</w:t>
      </w:r>
      <w:r w:rsidRPr="00A204D0">
        <w:rPr>
          <w:rStyle w:val="DocumentTextChar"/>
        </w:rPr>
        <w:t xml:space="preserve">mployers that have the statutory right to participate in the LGPS.  These organisations (set out in Part 1 of Schedule 2 of the 2013 Regulations) would not need to designate eligibility, unlike the Part 2 </w:t>
      </w:r>
      <w:r>
        <w:rPr>
          <w:rStyle w:val="DocumentTextChar"/>
        </w:rPr>
        <w:t>Fund</w:t>
      </w:r>
      <w:r w:rsidRPr="00A204D0">
        <w:rPr>
          <w:rStyle w:val="DocumentTextChar"/>
        </w:rPr>
        <w:t xml:space="preserve"> Employers.</w:t>
      </w:r>
      <w:r>
        <w:rPr>
          <w:rStyle w:val="DocumentTextChar"/>
        </w:rPr>
        <w:t xml:space="preserve"> Scheduled bodies</w:t>
      </w:r>
      <w:r w:rsidRPr="00A204D0">
        <w:t xml:space="preserve"> include Councils, colleges, universities, police and fire authorities etc, other than employees who have entitlement to a different public sector pension scheme (e.g. teachers, police and fire officers, university lecturers).</w:t>
      </w:r>
    </w:p>
    <w:p w:rsidR="00A56BCD" w:rsidRPr="00A56BCD" w:rsidRDefault="004129DC" w:rsidP="00A56BCD">
      <w:pPr>
        <w:pStyle w:val="Questions"/>
      </w:pPr>
      <w:r w:rsidRPr="00A56BCD">
        <w:rPr>
          <w:rStyle w:val="QuoteChar"/>
          <w:rFonts w:ascii="Arial" w:hAnsi="Arial"/>
          <w:color w:val="00A8C8"/>
          <w:sz w:val="22"/>
        </w:rPr>
        <w:t>Valuation funding basis:</w:t>
      </w:r>
      <w:r w:rsidRPr="00A56BCD">
        <w:t xml:space="preserve">  </w:t>
      </w:r>
    </w:p>
    <w:p w:rsidR="009848F1" w:rsidRDefault="004129DC" w:rsidP="009848F1">
      <w:pPr>
        <w:rPr>
          <w:rStyle w:val="DocumentTextChar"/>
        </w:rPr>
      </w:pPr>
      <w:r>
        <w:rPr>
          <w:rStyle w:val="DocumentTextChar"/>
        </w:rPr>
        <w:t>T</w:t>
      </w:r>
      <w:r w:rsidRPr="00A204D0">
        <w:rPr>
          <w:rStyle w:val="DocumentTextChar"/>
        </w:rPr>
        <w:t>he financial and demographic assumptions used to determine the employer’s contribution requirements.   The relevant discount rate used for valuing the present value of liabilities is consistent with an expected rate of return of the Fund’s investments.  This includes an expected out-performance over gilts in the long-term from other asset classes, held by the Fund.</w:t>
      </w:r>
    </w:p>
    <w:p w:rsidR="00582AE9" w:rsidRDefault="009B1438" w:rsidP="009848F1">
      <w:pPr>
        <w:rPr>
          <w:rStyle w:val="DocumentTextChar"/>
        </w:rPr>
      </w:pPr>
    </w:p>
    <w:p w:rsidR="00582AE9" w:rsidRDefault="009B1438" w:rsidP="009848F1">
      <w:pPr>
        <w:rPr>
          <w:rStyle w:val="DocumentTextChar"/>
        </w:rPr>
      </w:pPr>
    </w:p>
    <w:p w:rsidR="00582AE9" w:rsidRDefault="009B1438" w:rsidP="009848F1">
      <w:pPr>
        <w:rPr>
          <w:rStyle w:val="DocumentTextChar"/>
        </w:rPr>
      </w:pPr>
    </w:p>
    <w:p w:rsidR="00582AE9" w:rsidRDefault="009B1438" w:rsidP="009848F1">
      <w:pPr>
        <w:rPr>
          <w:rStyle w:val="DocumentTextChar"/>
        </w:rPr>
      </w:pPr>
    </w:p>
    <w:p w:rsidR="00582AE9" w:rsidRDefault="009B1438" w:rsidP="009848F1">
      <w:pPr>
        <w:rPr>
          <w:rStyle w:val="DocumentTextChar"/>
        </w:rPr>
      </w:pPr>
    </w:p>
    <w:p w:rsidR="00582AE9" w:rsidRDefault="009B1438" w:rsidP="009848F1">
      <w:pPr>
        <w:rPr>
          <w:rStyle w:val="DocumentTextChar"/>
        </w:rPr>
      </w:pPr>
    </w:p>
    <w:p w:rsidR="00582AE9" w:rsidRDefault="009B1438" w:rsidP="009848F1">
      <w:pPr>
        <w:rPr>
          <w:rStyle w:val="DocumentTextChar"/>
        </w:rPr>
      </w:pPr>
    </w:p>
    <w:p w:rsidR="00582AE9" w:rsidRDefault="009B1438" w:rsidP="009848F1">
      <w:pPr>
        <w:rPr>
          <w:rStyle w:val="DocumentTextChar"/>
        </w:rPr>
      </w:pPr>
    </w:p>
    <w:p w:rsidR="00582AE9" w:rsidRDefault="009B1438" w:rsidP="009848F1">
      <w:pPr>
        <w:rPr>
          <w:rStyle w:val="DocumentTextChar"/>
        </w:rPr>
      </w:pPr>
    </w:p>
    <w:p w:rsidR="00582AE9" w:rsidRDefault="009B1438" w:rsidP="009848F1">
      <w:pPr>
        <w:rPr>
          <w:rStyle w:val="DocumentTextChar"/>
        </w:rPr>
      </w:pPr>
    </w:p>
    <w:p w:rsidR="00582AE9" w:rsidRDefault="009B1438" w:rsidP="009848F1">
      <w:pPr>
        <w:rPr>
          <w:rStyle w:val="DocumentTextChar"/>
        </w:rPr>
      </w:pPr>
    </w:p>
    <w:p w:rsidR="00582AE9" w:rsidRDefault="009B1438" w:rsidP="009848F1">
      <w:pPr>
        <w:rPr>
          <w:rStyle w:val="DocumentTextChar"/>
        </w:rPr>
      </w:pPr>
    </w:p>
    <w:p w:rsidR="00582AE9" w:rsidRDefault="009B1438" w:rsidP="009848F1">
      <w:pPr>
        <w:rPr>
          <w:rStyle w:val="DocumentTextChar"/>
        </w:rPr>
      </w:pPr>
    </w:p>
    <w:p w:rsidR="00582AE9" w:rsidRDefault="009B1438" w:rsidP="009848F1">
      <w:pPr>
        <w:rPr>
          <w:rStyle w:val="DocumentTextChar"/>
        </w:rPr>
      </w:pPr>
    </w:p>
    <w:p w:rsidR="00582AE9" w:rsidRDefault="009B1438" w:rsidP="009848F1">
      <w:pPr>
        <w:rPr>
          <w:rStyle w:val="DocumentTextChar"/>
        </w:rPr>
      </w:pPr>
    </w:p>
    <w:p w:rsidR="00582AE9" w:rsidRDefault="009B1438" w:rsidP="009848F1">
      <w:pPr>
        <w:rPr>
          <w:rStyle w:val="DocumentTextChar"/>
        </w:rPr>
      </w:pPr>
    </w:p>
    <w:p w:rsidR="00582AE9" w:rsidRPr="009325A1" w:rsidRDefault="004129DC" w:rsidP="00582AE9">
      <w:pPr>
        <w:jc w:val="center"/>
        <w:rPr>
          <w:b/>
          <w:sz w:val="24"/>
        </w:rPr>
      </w:pPr>
      <w:r w:rsidRPr="009325A1">
        <w:rPr>
          <w:b/>
          <w:sz w:val="24"/>
        </w:rPr>
        <w:lastRenderedPageBreak/>
        <w:t>Appendix 1</w:t>
      </w:r>
    </w:p>
    <w:p w:rsidR="00582AE9" w:rsidRPr="009325A1" w:rsidRDefault="009B1438" w:rsidP="00582AE9">
      <w:pPr>
        <w:jc w:val="center"/>
        <w:rPr>
          <w:b/>
          <w:sz w:val="24"/>
        </w:rPr>
      </w:pPr>
    </w:p>
    <w:p w:rsidR="00582AE9" w:rsidRPr="009325A1" w:rsidRDefault="004129DC" w:rsidP="00582AE9">
      <w:pPr>
        <w:jc w:val="center"/>
        <w:rPr>
          <w:b/>
          <w:sz w:val="24"/>
        </w:rPr>
      </w:pPr>
      <w:r w:rsidRPr="009325A1">
        <w:rPr>
          <w:b/>
          <w:sz w:val="24"/>
        </w:rPr>
        <w:t>Conditions of Participation</w:t>
      </w:r>
    </w:p>
    <w:p w:rsidR="00582AE9" w:rsidRPr="0013495A" w:rsidRDefault="009B1438" w:rsidP="00582AE9">
      <w:pPr>
        <w:rPr>
          <w:b/>
          <w:sz w:val="24"/>
          <w:highlight w:val="yellow"/>
        </w:rPr>
      </w:pPr>
    </w:p>
    <w:p w:rsidR="00582AE9" w:rsidRPr="0013495A" w:rsidRDefault="009B1438" w:rsidP="00582AE9">
      <w:pPr>
        <w:rPr>
          <w:b/>
          <w:sz w:val="24"/>
          <w:highlight w:val="yellow"/>
        </w:rPr>
      </w:pPr>
    </w:p>
    <w:p w:rsidR="00582AE9" w:rsidRPr="008A283A" w:rsidRDefault="004129DC" w:rsidP="00582AE9">
      <w:pPr>
        <w:pStyle w:val="Level1"/>
        <w:spacing w:line="360" w:lineRule="auto"/>
        <w:jc w:val="left"/>
        <w:rPr>
          <w:rFonts w:ascii="Arial" w:hAnsi="Arial"/>
        </w:rPr>
      </w:pPr>
      <w:bookmarkStart w:id="0" w:name="_Ref17536586"/>
      <w:bookmarkStart w:id="1" w:name="_Ref17537792"/>
      <w:bookmarkStart w:id="2" w:name="_Ref24266812"/>
      <w:r w:rsidRPr="008A283A">
        <w:rPr>
          <w:rStyle w:val="Level1asHeadingtext"/>
          <w:rFonts w:ascii="Arial" w:hAnsi="Arial"/>
        </w:rPr>
        <w:t>PAYMENTS</w:t>
      </w:r>
      <w:bookmarkEnd w:id="0"/>
      <w:bookmarkEnd w:id="1"/>
      <w:bookmarkEnd w:id="2"/>
    </w:p>
    <w:p w:rsidR="00582AE9" w:rsidRPr="008A283A" w:rsidRDefault="004129DC" w:rsidP="00582AE9">
      <w:pPr>
        <w:pStyle w:val="Level2"/>
        <w:spacing w:line="360" w:lineRule="auto"/>
        <w:jc w:val="left"/>
      </w:pPr>
      <w:r w:rsidRPr="008A283A">
        <w:t>The Admission Body shall pay to the Administering Authority for credit to the Fund such contributions and payments as are due under the Regulations in respect of those employees who are eligible to participate in the Fund.</w:t>
      </w:r>
    </w:p>
    <w:p w:rsidR="00582AE9" w:rsidRPr="004F3D06" w:rsidRDefault="004129DC" w:rsidP="00582AE9">
      <w:pPr>
        <w:pStyle w:val="Level2"/>
        <w:spacing w:line="360" w:lineRule="auto"/>
        <w:jc w:val="left"/>
      </w:pPr>
      <w:r w:rsidRPr="004F3D06">
        <w:t>The Admission Body shall pay to the Administering Authority for credit to the Fund the employee and employer pension contributions on a monthly basis in arrears.  The payment must be paid to the Administering Authority within 19 calendar days of the end of each month in which the pension contributions have been deducted.</w:t>
      </w:r>
      <w:r w:rsidRPr="004F3D06">
        <w:rPr>
          <w:b/>
        </w:rPr>
        <w:t xml:space="preserve">  </w:t>
      </w:r>
    </w:p>
    <w:p w:rsidR="00582AE9" w:rsidRPr="00742B99" w:rsidRDefault="004129DC" w:rsidP="00582AE9">
      <w:pPr>
        <w:pStyle w:val="Level2"/>
        <w:spacing w:line="360" w:lineRule="auto"/>
        <w:jc w:val="left"/>
      </w:pPr>
      <w:r w:rsidRPr="00742B99">
        <w:t>The Admission Body shall pay to the Administering Authority for credit to the Fund any additional or revised contributions due as result of additional pension being awarded or as a result of outstanding liabilities due should the admission agreement terminate. Payment will be due</w:t>
      </w:r>
      <w:r w:rsidRPr="00742B99">
        <w:rPr>
          <w:rStyle w:val="CrossReference"/>
        </w:rPr>
        <w:t xml:space="preserve"> </w:t>
      </w:r>
      <w:r w:rsidRPr="00742B99">
        <w:t xml:space="preserve">within 30 calendar days of receipt of a written request from the Administering Authority.  </w:t>
      </w:r>
    </w:p>
    <w:p w:rsidR="00582AE9" w:rsidRPr="003744BF" w:rsidRDefault="004129DC" w:rsidP="00582AE9">
      <w:pPr>
        <w:pStyle w:val="Level2"/>
        <w:spacing w:line="360" w:lineRule="auto"/>
        <w:jc w:val="left"/>
      </w:pPr>
      <w:r w:rsidRPr="003744BF">
        <w:t>Any employees’ Additional Voluntary Contributions (“AVC’s”) or Shared Cost Additional Voluntary Contributions (“SCAVC’s”) are to be paid direct to such AVC body and/or AVC insurance company selected by the Administering Authority and notified to the Admission Body. Contributions shall be paid within 19 calendar days of the end of each month in which the contributions have been deducted.</w:t>
      </w:r>
    </w:p>
    <w:p w:rsidR="00582AE9" w:rsidRPr="00925616" w:rsidRDefault="004129DC" w:rsidP="00582AE9">
      <w:pPr>
        <w:pStyle w:val="Level2"/>
        <w:keepNext/>
        <w:spacing w:line="360" w:lineRule="auto"/>
        <w:jc w:val="left"/>
      </w:pPr>
      <w:r w:rsidRPr="00925616">
        <w:t xml:space="preserve">Where the Admission Body certifies that: </w:t>
      </w:r>
    </w:p>
    <w:p w:rsidR="00582AE9" w:rsidRPr="00925616" w:rsidRDefault="004129DC" w:rsidP="00582AE9">
      <w:pPr>
        <w:pStyle w:val="Level3"/>
        <w:spacing w:line="360" w:lineRule="auto"/>
        <w:jc w:val="left"/>
      </w:pPr>
      <w:r w:rsidRPr="00925616">
        <w:t>an eligible employee aged 55 or more, is retiring by reason of redundancy or in the interests of efficiency; or</w:t>
      </w:r>
    </w:p>
    <w:p w:rsidR="00582AE9" w:rsidRPr="00925616" w:rsidRDefault="004129DC" w:rsidP="00582AE9">
      <w:pPr>
        <w:pStyle w:val="Level3"/>
        <w:spacing w:line="360" w:lineRule="auto"/>
        <w:jc w:val="left"/>
      </w:pPr>
      <w:r w:rsidRPr="00925616">
        <w:t>an e</w:t>
      </w:r>
      <w:r w:rsidRPr="00925616">
        <w:rPr>
          <w:rFonts w:cs="Arial"/>
        </w:rPr>
        <w:t>ligible employee is voluntarily retiring on or after age fifty-five (55) and the Admission Body exercises a discretion to waive actuarial reductions</w:t>
      </w:r>
      <w:r w:rsidRPr="00925616">
        <w:t>; or</w:t>
      </w:r>
    </w:p>
    <w:p w:rsidR="00582AE9" w:rsidRPr="00665071" w:rsidRDefault="004129DC" w:rsidP="00582AE9">
      <w:pPr>
        <w:pStyle w:val="Level3"/>
        <w:spacing w:line="360" w:lineRule="auto"/>
        <w:jc w:val="left"/>
      </w:pPr>
      <w:r w:rsidRPr="00665071">
        <w:rPr>
          <w:rFonts w:cs="Arial"/>
        </w:rPr>
        <w:lastRenderedPageBreak/>
        <w:t>an eligible employee who is a deferred member of the Scheme requests that their benefits are brought into payment early on or after age fifty-five (55) and the Admission Body exercises a discretion to waive actuarial reductions</w:t>
      </w:r>
      <w:r w:rsidRPr="00665071">
        <w:t>;</w:t>
      </w:r>
    </w:p>
    <w:p w:rsidR="00582AE9" w:rsidRPr="00665071" w:rsidRDefault="004129DC" w:rsidP="00582AE9">
      <w:pPr>
        <w:pStyle w:val="Body"/>
        <w:spacing w:line="360" w:lineRule="auto"/>
        <w:ind w:left="851"/>
        <w:jc w:val="left"/>
        <w:rPr>
          <w:rFonts w:ascii="Arial" w:hAnsi="Arial"/>
        </w:rPr>
      </w:pPr>
      <w:r w:rsidRPr="00665071">
        <w:rPr>
          <w:rFonts w:ascii="Arial" w:hAnsi="Arial"/>
        </w:rPr>
        <w:t>and immediate benefits are payable under the Regulations the Admission Body shall pay to the Administering Authority for credit to the Fund the sum notified to them in writing by the Administering Authority as representing the actuarial strain on the Fund resulting from the immediate payment of benefits as certified by an actuary appointed by the Administering Authority. S</w:t>
      </w:r>
      <w:r w:rsidRPr="00665071">
        <w:rPr>
          <w:rFonts w:ascii="Arial" w:hAnsi="Arial" w:cs="Arial"/>
        </w:rPr>
        <w:t>uch sum to be paid (unless other terms are agreed between the Administering Authority and the Admission Body) within thirty (30) calendar days of receipt by the Admission Body of the written notification</w:t>
      </w:r>
      <w:r w:rsidRPr="00665071">
        <w:rPr>
          <w:rFonts w:ascii="Arial" w:hAnsi="Arial"/>
        </w:rPr>
        <w:t>.</w:t>
      </w:r>
    </w:p>
    <w:p w:rsidR="00582AE9" w:rsidRPr="00BE4E20" w:rsidRDefault="004129DC" w:rsidP="00582AE9">
      <w:pPr>
        <w:pStyle w:val="Level2"/>
        <w:spacing w:line="360" w:lineRule="auto"/>
        <w:jc w:val="left"/>
      </w:pPr>
      <w:r w:rsidRPr="00BE4E20">
        <w:t xml:space="preserve">The Admission Body shall indemnify the Administering Authority against any financial penalty and associated costs and expenses incurred by the Administering Authority or by the Fund arising from any failure by the Admission Body to comply with the terms of the Admission Agreement entered into by it, the Regulations or any overriding legislation. Such payment is to be paid within 30 calendar days of receipt of a written request from the Administering Authority.  </w:t>
      </w:r>
    </w:p>
    <w:p w:rsidR="00582AE9" w:rsidRDefault="004129DC" w:rsidP="00582AE9">
      <w:pPr>
        <w:pStyle w:val="Level2"/>
        <w:spacing w:line="360" w:lineRule="auto"/>
        <w:jc w:val="left"/>
      </w:pPr>
      <w:r w:rsidRPr="000149B1">
        <w:t>If any sum payable under this Agreement or the Regulations by the Admission Body to the Administering Authority or to the Fund has not been paid (in whole or in part) within the payment period specified (or otherwise in accordance with the Regulations) the Administering Authority may require the Admission Body to pay interest calculated in accordance with Regulations on the amount remaining unpaid.</w:t>
      </w:r>
    </w:p>
    <w:p w:rsidR="00582AE9" w:rsidRPr="00284509" w:rsidRDefault="004129DC" w:rsidP="00582AE9">
      <w:pPr>
        <w:pStyle w:val="Level1"/>
        <w:spacing w:line="360" w:lineRule="auto"/>
        <w:jc w:val="left"/>
        <w:rPr>
          <w:rFonts w:ascii="Arial" w:hAnsi="Arial"/>
        </w:rPr>
      </w:pPr>
      <w:bookmarkStart w:id="3" w:name="_Ref17536587"/>
      <w:bookmarkStart w:id="4" w:name="_Ref24266822"/>
      <w:r w:rsidRPr="00284509">
        <w:rPr>
          <w:rStyle w:val="Level1asHeadingtext"/>
          <w:rFonts w:ascii="Arial" w:hAnsi="Arial"/>
        </w:rPr>
        <w:t>ADMISSION BODY’S UNDERTAKINGS</w:t>
      </w:r>
      <w:bookmarkEnd w:id="3"/>
      <w:bookmarkEnd w:id="4"/>
    </w:p>
    <w:p w:rsidR="00582AE9" w:rsidRPr="00284509" w:rsidRDefault="004129DC" w:rsidP="00582AE9">
      <w:pPr>
        <w:pStyle w:val="Level2"/>
        <w:keepLines/>
        <w:numPr>
          <w:ilvl w:val="0"/>
          <w:numId w:val="0"/>
        </w:numPr>
        <w:spacing w:line="360" w:lineRule="auto"/>
        <w:jc w:val="left"/>
      </w:pPr>
      <w:r w:rsidRPr="00284509">
        <w:t>The Admission Body undertakes:</w:t>
      </w:r>
    </w:p>
    <w:p w:rsidR="00281AA9" w:rsidRDefault="00281AA9" w:rsidP="009B1438">
      <w:pPr>
        <w:pStyle w:val="Level3"/>
        <w:numPr>
          <w:ilvl w:val="0"/>
          <w:numId w:val="0"/>
        </w:numPr>
        <w:tabs>
          <w:tab w:val="clear" w:pos="1701"/>
        </w:tabs>
        <w:spacing w:line="360" w:lineRule="auto"/>
        <w:ind w:left="720" w:hanging="720"/>
        <w:jc w:val="left"/>
      </w:pPr>
      <w:r>
        <w:t>2.1</w:t>
      </w:r>
      <w:r>
        <w:tab/>
      </w:r>
      <w:r w:rsidR="004129DC" w:rsidRPr="00284509">
        <w:t>to provide or procure to be provided such information as is reasonably required by</w:t>
      </w:r>
      <w:r>
        <w:br/>
      </w:r>
      <w:r w:rsidR="004129DC" w:rsidRPr="00284509">
        <w:t>the Administering Authority relating to the Admission Body's participation in the Fund including (but not limited to) details of the pay and final pay of each eligible employee;</w:t>
      </w:r>
    </w:p>
    <w:p w:rsidR="00582AE9" w:rsidRPr="00872909" w:rsidRDefault="00281AA9" w:rsidP="009B1438">
      <w:pPr>
        <w:pStyle w:val="Level3"/>
        <w:numPr>
          <w:ilvl w:val="0"/>
          <w:numId w:val="0"/>
        </w:numPr>
        <w:tabs>
          <w:tab w:val="clear" w:pos="1701"/>
        </w:tabs>
        <w:spacing w:line="360" w:lineRule="auto"/>
        <w:ind w:left="720" w:hanging="720"/>
        <w:jc w:val="left"/>
      </w:pPr>
      <w:r>
        <w:lastRenderedPageBreak/>
        <w:t>2.2</w:t>
      </w:r>
      <w:r>
        <w:tab/>
        <w:t>T</w:t>
      </w:r>
      <w:r w:rsidR="004129DC" w:rsidRPr="00872909">
        <w:t xml:space="preserve">o comply with the reasonable requests of the Administering Authority to enable it to comply with the requirements of the Occupational </w:t>
      </w:r>
      <w:r w:rsidR="004129DC" w:rsidRPr="00872909">
        <w:rPr>
          <w:rFonts w:cs="Arial"/>
        </w:rPr>
        <w:t>and Personal Pension Schemes (Disclosure of Information) Regulations 2013 (SI 2013/2734</w:t>
      </w:r>
      <w:r w:rsidR="004129DC" w:rsidRPr="00872909">
        <w:t>);</w:t>
      </w:r>
    </w:p>
    <w:p w:rsidR="00582AE9" w:rsidRPr="0008342C" w:rsidRDefault="00281AA9" w:rsidP="009B1438">
      <w:pPr>
        <w:pStyle w:val="Level3"/>
        <w:numPr>
          <w:ilvl w:val="0"/>
          <w:numId w:val="0"/>
        </w:numPr>
        <w:tabs>
          <w:tab w:val="clear" w:pos="1701"/>
        </w:tabs>
        <w:spacing w:line="360" w:lineRule="auto"/>
        <w:ind w:left="720" w:hanging="720"/>
        <w:jc w:val="left"/>
      </w:pPr>
      <w:r>
        <w:t>2.3</w:t>
      </w:r>
      <w:r>
        <w:tab/>
        <w:t>T</w:t>
      </w:r>
      <w:r w:rsidR="004129DC" w:rsidRPr="0008342C">
        <w:t>o adopt the practices and procedures relating to the operation of the Scheme as</w:t>
      </w:r>
      <w:r>
        <w:br/>
      </w:r>
      <w:r w:rsidR="004129DC" w:rsidRPr="0008342C">
        <w:t>set out in the Regulations and in any employer’s guide published by the Administering Authority and provided by the Administering Authority to the Admission Body;</w:t>
      </w:r>
    </w:p>
    <w:p w:rsidR="00582AE9" w:rsidRPr="0008342C" w:rsidRDefault="00281AA9" w:rsidP="009B1438">
      <w:pPr>
        <w:pStyle w:val="Level3"/>
        <w:numPr>
          <w:ilvl w:val="0"/>
          <w:numId w:val="0"/>
        </w:numPr>
        <w:tabs>
          <w:tab w:val="clear" w:pos="1701"/>
        </w:tabs>
        <w:spacing w:line="360" w:lineRule="auto"/>
        <w:ind w:left="720" w:hanging="720"/>
        <w:jc w:val="left"/>
      </w:pPr>
      <w:r>
        <w:t>2.4</w:t>
      </w:r>
      <w:r>
        <w:tab/>
        <w:t>T</w:t>
      </w:r>
      <w:r w:rsidR="004129DC" w:rsidRPr="0008342C">
        <w:t>o formulate and publish within 3 calendar months of commencement a statement</w:t>
      </w:r>
      <w:r>
        <w:br/>
      </w:r>
      <w:r w:rsidR="004129DC" w:rsidRPr="0008342C">
        <w:t>concerning the Admission Body’s policy on the exercise of its functions or discretions in accordance with the requirements of the Regulations and to keep such policy under review;</w:t>
      </w:r>
    </w:p>
    <w:p w:rsidR="00582AE9" w:rsidRPr="0008342C" w:rsidRDefault="00281AA9" w:rsidP="009B1438">
      <w:pPr>
        <w:pStyle w:val="Level3"/>
        <w:numPr>
          <w:ilvl w:val="0"/>
          <w:numId w:val="0"/>
        </w:numPr>
        <w:tabs>
          <w:tab w:val="clear" w:pos="1701"/>
        </w:tabs>
        <w:spacing w:line="360" w:lineRule="auto"/>
        <w:ind w:left="720" w:hanging="720"/>
        <w:jc w:val="left"/>
      </w:pPr>
      <w:r>
        <w:t>2.5</w:t>
      </w:r>
      <w:r>
        <w:tab/>
        <w:t>T</w:t>
      </w:r>
      <w:r w:rsidR="004129DC" w:rsidRPr="0008342C">
        <w:t>o notify the Administering Authority of each occasion on which it exercises a</w:t>
      </w:r>
      <w:r>
        <w:br/>
      </w:r>
      <w:r w:rsidR="004129DC" w:rsidRPr="0008342C">
        <w:t>discretion under the Regulations and the manner in which it exercises that discretion;</w:t>
      </w:r>
    </w:p>
    <w:p w:rsidR="00582AE9" w:rsidRPr="00A81333" w:rsidRDefault="004129DC" w:rsidP="009B1438">
      <w:pPr>
        <w:pStyle w:val="Level3"/>
        <w:numPr>
          <w:ilvl w:val="0"/>
          <w:numId w:val="0"/>
        </w:numPr>
        <w:tabs>
          <w:tab w:val="clear" w:pos="1701"/>
        </w:tabs>
        <w:spacing w:line="360" w:lineRule="auto"/>
        <w:ind w:left="720" w:hanging="720"/>
        <w:jc w:val="left"/>
      </w:pPr>
      <w:r>
        <w:t>2.6</w:t>
      </w:r>
      <w:r>
        <w:tab/>
        <w:t>T</w:t>
      </w:r>
      <w:r w:rsidRPr="00A81333">
        <w:t>o notify promptly the Administering Authority in writing of any material change in</w:t>
      </w:r>
      <w:r>
        <w:br/>
      </w:r>
      <w:r w:rsidRPr="00A81333">
        <w:t>the terms and conditions of employment of any of the eligible employees which affects entitlement to benefits under the LGPS and of any termination of employment</w:t>
      </w:r>
      <w:bookmarkStart w:id="5" w:name="_GoBack"/>
      <w:bookmarkEnd w:id="5"/>
      <w:r w:rsidRPr="00A81333">
        <w:t>;</w:t>
      </w:r>
    </w:p>
    <w:p w:rsidR="00582AE9" w:rsidRPr="00A81333" w:rsidRDefault="004129DC" w:rsidP="009B1438">
      <w:pPr>
        <w:pStyle w:val="Level3"/>
        <w:numPr>
          <w:ilvl w:val="0"/>
          <w:numId w:val="0"/>
        </w:numPr>
        <w:tabs>
          <w:tab w:val="clear" w:pos="1701"/>
        </w:tabs>
        <w:spacing w:line="360" w:lineRule="auto"/>
        <w:ind w:left="720" w:hanging="720"/>
        <w:jc w:val="left"/>
      </w:pPr>
      <w:r>
        <w:t>2.7</w:t>
      </w:r>
      <w:r>
        <w:tab/>
        <w:t>T</w:t>
      </w:r>
      <w:r w:rsidRPr="00A81333">
        <w:t>o immediately notify the Administering Authority (and the Scheme employer where</w:t>
      </w:r>
      <w:r>
        <w:br/>
      </w:r>
      <w:r w:rsidRPr="00A81333">
        <w:t>appropriate) in writing of any matter which may affect or is likely to affect its participation in the LGPS and of any actual or proposed change in its status which may give rise to a termination of the admission agreement or in the case of a transferee admission body which may give rise to a termination of the Contract between the admission body and the Scheme employer including but not limited to take-over reconstruction amalgamation liquidation receivership or a change in the nature of its business or constitution.</w:t>
      </w:r>
    </w:p>
    <w:p w:rsidR="00582AE9" w:rsidRPr="0090730B" w:rsidRDefault="004129DC" w:rsidP="009B1438">
      <w:pPr>
        <w:pStyle w:val="Level3"/>
        <w:numPr>
          <w:ilvl w:val="0"/>
          <w:numId w:val="0"/>
        </w:numPr>
        <w:tabs>
          <w:tab w:val="clear" w:pos="1701"/>
        </w:tabs>
        <w:spacing w:line="360" w:lineRule="auto"/>
        <w:ind w:left="720" w:hanging="720"/>
        <w:jc w:val="left"/>
      </w:pPr>
      <w:r>
        <w:t>2.8</w:t>
      </w:r>
      <w:r>
        <w:tab/>
      </w:r>
      <w:r w:rsidRPr="0090730B">
        <w:t xml:space="preserve">Where the admission agreement exists </w:t>
      </w:r>
      <w:r w:rsidRPr="0090730B">
        <w:rPr>
          <w:bCs/>
        </w:rPr>
        <w:t>under the criteria set out in Schedule 2 Part</w:t>
      </w:r>
      <w:r>
        <w:rPr>
          <w:bCs/>
        </w:rPr>
        <w:br/>
      </w:r>
      <w:r w:rsidRPr="0090730B">
        <w:rPr>
          <w:bCs/>
        </w:rPr>
        <w:t xml:space="preserve">3 </w:t>
      </w:r>
      <w:r>
        <w:rPr>
          <w:bCs/>
        </w:rPr>
        <w:t xml:space="preserve">para </w:t>
      </w:r>
      <w:r w:rsidRPr="0090730B">
        <w:rPr>
          <w:bCs/>
        </w:rPr>
        <w:t>1 (d) (i)</w:t>
      </w:r>
      <w:r w:rsidRPr="0090730B">
        <w:rPr>
          <w:b/>
          <w:bCs/>
        </w:rPr>
        <w:t xml:space="preserve"> </w:t>
      </w:r>
      <w:r w:rsidRPr="0090730B">
        <w:rPr>
          <w:bCs/>
        </w:rPr>
        <w:t xml:space="preserve">relating to organisations </w:t>
      </w:r>
      <w:r w:rsidRPr="0090730B">
        <w:t>that have taken on work on behalf of a scheme employer by means of a contract</w:t>
      </w:r>
      <w:r>
        <w:t xml:space="preserve"> then employees are only eligible for continued participation of the LGPS where they are </w:t>
      </w:r>
      <w:r w:rsidRPr="0090730B">
        <w:rPr>
          <w:rFonts w:cs="Arial"/>
        </w:rPr>
        <w:t>“employed in connection with”</w:t>
      </w:r>
      <w:r>
        <w:rPr>
          <w:rFonts w:cs="Arial"/>
        </w:rPr>
        <w:t xml:space="preserve"> the contract. </w:t>
      </w:r>
      <w:r w:rsidRPr="0090730B">
        <w:rPr>
          <w:rFonts w:cs="Arial"/>
        </w:rPr>
        <w:t>“</w:t>
      </w:r>
      <w:r>
        <w:rPr>
          <w:rFonts w:cs="Arial"/>
        </w:rPr>
        <w:t>E</w:t>
      </w:r>
      <w:r w:rsidRPr="0090730B">
        <w:rPr>
          <w:rFonts w:cs="Arial"/>
        </w:rPr>
        <w:t>mployed in connection with”</w:t>
      </w:r>
      <w:r>
        <w:rPr>
          <w:rFonts w:cs="Arial"/>
        </w:rPr>
        <w:t xml:space="preserve"> </w:t>
      </w:r>
      <w:r w:rsidRPr="0090730B">
        <w:rPr>
          <w:rFonts w:cs="Arial"/>
        </w:rPr>
        <w:t xml:space="preserve"> shall mean that an Eligible Employee is employed by the Admission Body on the basis that in any six (6) month period an </w:t>
      </w:r>
      <w:r w:rsidRPr="0090730B">
        <w:rPr>
          <w:rFonts w:cs="Arial"/>
        </w:rPr>
        <w:lastRenderedPageBreak/>
        <w:t>Eligible Employee spends not less than fifty per cent (50%) of his time whilst working on matters directly relevant to the Contract.  For the avoidance of doubt, when assessing the time spent working on matters directly relevant to the Contract the Admission Body should take into account a range of factors including (but not limited to) the time spent on different parts of the business, the value given to each part of the business, the contract of employment and how the costs of that employee are dealt with</w:t>
      </w:r>
      <w:r>
        <w:rPr>
          <w:rFonts w:cs="Arial"/>
        </w:rPr>
        <w:t>.</w:t>
      </w:r>
    </w:p>
    <w:p w:rsidR="00582AE9" w:rsidRPr="00A81333" w:rsidRDefault="004129DC" w:rsidP="00582AE9">
      <w:pPr>
        <w:pStyle w:val="Level1"/>
        <w:spacing w:line="360" w:lineRule="auto"/>
        <w:jc w:val="left"/>
        <w:rPr>
          <w:rFonts w:ascii="Arial" w:hAnsi="Arial"/>
        </w:rPr>
      </w:pPr>
      <w:bookmarkStart w:id="6" w:name="_Ref17536588"/>
      <w:bookmarkStart w:id="7" w:name="_Ref17538007"/>
      <w:bookmarkStart w:id="8" w:name="_Ref24266830"/>
      <w:r w:rsidRPr="00A81333">
        <w:rPr>
          <w:rStyle w:val="Level1asHeadingtext"/>
          <w:rFonts w:ascii="Arial" w:hAnsi="Arial"/>
        </w:rPr>
        <w:t>ACTUARIAL VALUATIONS</w:t>
      </w:r>
      <w:bookmarkEnd w:id="6"/>
      <w:bookmarkEnd w:id="7"/>
      <w:bookmarkEnd w:id="8"/>
    </w:p>
    <w:p w:rsidR="00582AE9" w:rsidRPr="00A81333" w:rsidRDefault="004129DC" w:rsidP="00582AE9">
      <w:pPr>
        <w:pStyle w:val="Level2"/>
        <w:spacing w:line="360" w:lineRule="auto"/>
        <w:jc w:val="left"/>
      </w:pPr>
      <w:r w:rsidRPr="00A81333">
        <w:t>The Administering Authority may periodically and shall at least on a triennial basis obtain from an actuary a certificate specifying in the case of the Admission Body the percentage or amount by which in the actuary's opinion the employer’s contribution rate should be increased or reduced.  This is with a view to ensuring that as far as is reasonably possible the value of assets of the Fund in respect of current and former eligible employees is neither materially more nor materially less than the anticipated liabilities of the Fund.</w:t>
      </w:r>
    </w:p>
    <w:p w:rsidR="00582AE9" w:rsidRPr="00A81333" w:rsidRDefault="004129DC" w:rsidP="00582AE9">
      <w:pPr>
        <w:pStyle w:val="Level2"/>
        <w:keepNext/>
        <w:spacing w:line="360" w:lineRule="auto"/>
        <w:jc w:val="left"/>
      </w:pPr>
      <w:r w:rsidRPr="00A81333">
        <w:t>Upon termination of this Agreement the Administering Authority must obtain:</w:t>
      </w:r>
    </w:p>
    <w:p w:rsidR="00582AE9" w:rsidRPr="00A81333" w:rsidRDefault="004129DC" w:rsidP="00582AE9">
      <w:pPr>
        <w:pStyle w:val="Level3"/>
        <w:tabs>
          <w:tab w:val="clear" w:pos="850"/>
          <w:tab w:val="num" w:pos="1701"/>
        </w:tabs>
        <w:spacing w:line="360" w:lineRule="auto"/>
        <w:ind w:left="1701"/>
        <w:jc w:val="left"/>
      </w:pPr>
      <w:r w:rsidRPr="00A81333">
        <w:t>an actuarial valuation of the liabilities of the Fund in respect of current and former eligible employees as at the date of termination; and</w:t>
      </w:r>
    </w:p>
    <w:p w:rsidR="00582AE9" w:rsidRPr="00A81333" w:rsidRDefault="004129DC" w:rsidP="00582AE9">
      <w:pPr>
        <w:pStyle w:val="Level3"/>
        <w:tabs>
          <w:tab w:val="clear" w:pos="850"/>
          <w:tab w:val="num" w:pos="1701"/>
        </w:tabs>
        <w:spacing w:line="360" w:lineRule="auto"/>
        <w:ind w:left="1701"/>
        <w:jc w:val="left"/>
      </w:pPr>
      <w:r w:rsidRPr="00A81333">
        <w:t>a revision of any rates and adjustments certificate within the meaning of the Regulations showing the revised contributions due from the Admission Body.</w:t>
      </w:r>
    </w:p>
    <w:p w:rsidR="00582AE9" w:rsidRPr="00A81333" w:rsidRDefault="004129DC" w:rsidP="00582AE9">
      <w:pPr>
        <w:pStyle w:val="Level2"/>
        <w:numPr>
          <w:ilvl w:val="0"/>
          <w:numId w:val="0"/>
        </w:numPr>
        <w:spacing w:line="360" w:lineRule="auto"/>
        <w:jc w:val="left"/>
      </w:pPr>
      <w:r w:rsidRPr="00A81333">
        <w:t xml:space="preserve">the costs of obtaining the actuarial valuation and certificates (or revisions to them) as required by the Administering Authority in respect of current and former eligible employees (other than the triennial valuation) shall be paid by the Admission Body within 30 calendar days of receipt of written notification of such costs from the Administering Authority. </w:t>
      </w:r>
    </w:p>
    <w:bookmarkStart w:id="9" w:name="_Ref17536589"/>
    <w:bookmarkStart w:id="10" w:name="_Ref17538015"/>
    <w:p w:rsidR="00582AE9" w:rsidRPr="00A22F0F" w:rsidRDefault="004129DC" w:rsidP="00582AE9">
      <w:pPr>
        <w:pStyle w:val="Level1"/>
        <w:spacing w:line="360" w:lineRule="auto"/>
        <w:jc w:val="left"/>
        <w:rPr>
          <w:rFonts w:ascii="Arial" w:hAnsi="Arial"/>
        </w:rPr>
      </w:pPr>
      <w:r>
        <w:rPr>
          <w:rFonts w:ascii="Arial" w:hAnsi="Arial"/>
        </w:rPr>
        <w:fldChar w:fldCharType="begin"/>
      </w:r>
      <w:r w:rsidRPr="00A22F0F">
        <w:rPr>
          <w:rFonts w:ascii="Arial" w:hAnsi="Arial"/>
          <w:color w:val="808080"/>
        </w:rPr>
        <w:instrText xml:space="preserve">  TC "</w:instrText>
      </w:r>
      <w:r w:rsidRPr="00A22F0F">
        <w:rPr>
          <w:rFonts w:ascii="Arial" w:hAnsi="Arial"/>
          <w:color w:val="808080"/>
        </w:rPr>
        <w:fldChar w:fldCharType="begin"/>
      </w:r>
      <w:r w:rsidRPr="00A22F0F">
        <w:rPr>
          <w:rFonts w:ascii="Arial" w:hAnsi="Arial"/>
          <w:color w:val="808080"/>
        </w:rPr>
        <w:instrText xml:space="preserve"> REF _Ref24266838 \r  \* MERGEFORMAT </w:instrText>
      </w:r>
      <w:r w:rsidRPr="00A22F0F">
        <w:rPr>
          <w:rFonts w:ascii="Arial" w:hAnsi="Arial"/>
          <w:color w:val="808080"/>
        </w:rPr>
        <w:fldChar w:fldCharType="separate"/>
      </w:r>
      <w:bookmarkStart w:id="11" w:name="_Toc24268662"/>
      <w:bookmarkStart w:id="12" w:name="_Toc34708228"/>
      <w:bookmarkStart w:id="13" w:name="_Toc34708337"/>
      <w:bookmarkStart w:id="14" w:name="_Toc149628440"/>
      <w:r>
        <w:rPr>
          <w:rFonts w:ascii="Arial" w:hAnsi="Arial"/>
          <w:color w:val="808080"/>
        </w:rPr>
        <w:instrText>4</w:instrText>
      </w:r>
      <w:r w:rsidRPr="00A22F0F">
        <w:rPr>
          <w:rFonts w:ascii="Arial" w:hAnsi="Arial"/>
          <w:color w:val="808080"/>
        </w:rPr>
        <w:fldChar w:fldCharType="end"/>
      </w:r>
      <w:r w:rsidRPr="00A22F0F">
        <w:rPr>
          <w:rFonts w:ascii="Arial" w:hAnsi="Arial"/>
          <w:color w:val="808080"/>
        </w:rPr>
        <w:tab/>
        <w:instrText>TERMINATION</w:instrText>
      </w:r>
      <w:bookmarkEnd w:id="11"/>
      <w:bookmarkEnd w:id="12"/>
      <w:bookmarkEnd w:id="13"/>
      <w:bookmarkEnd w:id="14"/>
      <w:r w:rsidRPr="00A22F0F">
        <w:rPr>
          <w:rFonts w:ascii="Arial" w:hAnsi="Arial"/>
          <w:color w:val="808080"/>
        </w:rPr>
        <w:instrText xml:space="preserve">"\l 2 </w:instrText>
      </w:r>
      <w:r>
        <w:rPr>
          <w:rFonts w:ascii="Arial" w:hAnsi="Arial"/>
        </w:rPr>
        <w:fldChar w:fldCharType="end"/>
      </w:r>
      <w:bookmarkStart w:id="15" w:name="_Ref24266838"/>
      <w:r w:rsidRPr="00A22F0F">
        <w:rPr>
          <w:rStyle w:val="Level1asHeadingtext"/>
          <w:rFonts w:ascii="Arial" w:hAnsi="Arial"/>
        </w:rPr>
        <w:t>TERMINATION</w:t>
      </w:r>
      <w:bookmarkEnd w:id="9"/>
      <w:bookmarkEnd w:id="10"/>
      <w:bookmarkEnd w:id="15"/>
    </w:p>
    <w:p w:rsidR="00582AE9" w:rsidRPr="00A22F0F" w:rsidRDefault="004129DC" w:rsidP="00582AE9">
      <w:pPr>
        <w:pStyle w:val="Level2"/>
        <w:spacing w:line="360" w:lineRule="auto"/>
        <w:jc w:val="left"/>
      </w:pPr>
      <w:r w:rsidRPr="001048E0">
        <w:rPr>
          <w:rStyle w:val="CrossReference"/>
          <w:rFonts w:asciiTheme="minorHAnsi" w:hAnsiTheme="minorHAnsi" w:cstheme="minorHAnsi"/>
        </w:rPr>
        <w:t xml:space="preserve">An Admission </w:t>
      </w:r>
      <w:r w:rsidRPr="001048E0">
        <w:rPr>
          <w:rFonts w:asciiTheme="minorHAnsi" w:hAnsiTheme="minorHAnsi" w:cstheme="minorHAnsi"/>
        </w:rPr>
        <w:t>Agreement shall terminate at the end of the notice period upon the Administering Authority or the Admission Body giving a minimum of three calendar months notice in writing to</w:t>
      </w:r>
      <w:r w:rsidRPr="00A22F0F">
        <w:t xml:space="preserve"> terminate the Agreement to the other party or parties to the Agreement.</w:t>
      </w:r>
    </w:p>
    <w:p w:rsidR="00582AE9" w:rsidRPr="00A22F0F" w:rsidRDefault="004129DC" w:rsidP="00582AE9">
      <w:pPr>
        <w:pStyle w:val="Level2"/>
        <w:spacing w:line="360" w:lineRule="auto"/>
        <w:jc w:val="left"/>
      </w:pPr>
      <w:r w:rsidRPr="00A22F0F">
        <w:lastRenderedPageBreak/>
        <w:t>The Agreement shall terminate automatically on the earlier of:</w:t>
      </w:r>
    </w:p>
    <w:p w:rsidR="00582AE9" w:rsidRPr="00A22F0F" w:rsidRDefault="004129DC" w:rsidP="00582AE9">
      <w:pPr>
        <w:pStyle w:val="Level3"/>
        <w:tabs>
          <w:tab w:val="clear" w:pos="850"/>
          <w:tab w:val="num" w:pos="1701"/>
        </w:tabs>
        <w:spacing w:line="360" w:lineRule="auto"/>
        <w:ind w:left="1701"/>
        <w:jc w:val="left"/>
      </w:pPr>
      <w:r w:rsidRPr="00A22F0F">
        <w:t>the date of the expiry or earlier termination of the Contract ; or</w:t>
      </w:r>
    </w:p>
    <w:p w:rsidR="00582AE9" w:rsidRPr="00A22F0F" w:rsidRDefault="004129DC" w:rsidP="00582AE9">
      <w:pPr>
        <w:pStyle w:val="Level3"/>
        <w:tabs>
          <w:tab w:val="clear" w:pos="850"/>
          <w:tab w:val="num" w:pos="1701"/>
        </w:tabs>
        <w:spacing w:line="360" w:lineRule="auto"/>
        <w:ind w:left="1701"/>
        <w:jc w:val="left"/>
      </w:pPr>
      <w:r w:rsidRPr="00A22F0F">
        <w:t>the date the Admission Body ceases to be an Admission Body for the purposes of the Regulations.</w:t>
      </w:r>
    </w:p>
    <w:p w:rsidR="00582AE9" w:rsidRPr="00A22F0F" w:rsidRDefault="004129DC" w:rsidP="00582AE9">
      <w:pPr>
        <w:pStyle w:val="Level2"/>
        <w:spacing w:line="360" w:lineRule="auto"/>
        <w:jc w:val="left"/>
      </w:pPr>
      <w:r w:rsidRPr="00A22F0F">
        <w:t>The Agreement may be terminated by the Administering Authority by notice in writing to the Admission Body taking immediate effect in the event of:</w:t>
      </w:r>
    </w:p>
    <w:p w:rsidR="00582AE9" w:rsidRPr="00A22F0F" w:rsidRDefault="004129DC" w:rsidP="00582AE9">
      <w:pPr>
        <w:pStyle w:val="Level3"/>
        <w:tabs>
          <w:tab w:val="clear" w:pos="850"/>
          <w:tab w:val="num" w:pos="1701"/>
        </w:tabs>
        <w:spacing w:line="360" w:lineRule="auto"/>
        <w:ind w:left="1701"/>
        <w:jc w:val="left"/>
      </w:pPr>
      <w:r w:rsidRPr="00A22F0F">
        <w:t>the insolvency winding up or liquidation of the Admission Body;</w:t>
      </w:r>
    </w:p>
    <w:p w:rsidR="00582AE9" w:rsidRPr="00A22F0F" w:rsidRDefault="004129DC" w:rsidP="00582AE9">
      <w:pPr>
        <w:pStyle w:val="Level3"/>
        <w:tabs>
          <w:tab w:val="clear" w:pos="850"/>
          <w:tab w:val="num" w:pos="1701"/>
        </w:tabs>
        <w:spacing w:line="360" w:lineRule="auto"/>
        <w:ind w:left="1701"/>
        <w:jc w:val="left"/>
      </w:pPr>
      <w:r w:rsidRPr="00A22F0F">
        <w:t>any breach by the Admission Body of any of its obligations under this Agreement provided that the Administering Authority shall if the breach is capable of remedy first afford to the Admission Body the opportunity of remedying that breach within such reasonable period as the Administering Authority may specify;</w:t>
      </w:r>
    </w:p>
    <w:p w:rsidR="00582AE9" w:rsidRPr="00A22F0F" w:rsidRDefault="004129DC" w:rsidP="00582AE9">
      <w:pPr>
        <w:pStyle w:val="Level3"/>
        <w:tabs>
          <w:tab w:val="clear" w:pos="850"/>
          <w:tab w:val="num" w:pos="1701"/>
        </w:tabs>
        <w:spacing w:line="360" w:lineRule="auto"/>
        <w:ind w:left="1701"/>
        <w:jc w:val="left"/>
      </w:pPr>
      <w:r w:rsidRPr="00A22F0F">
        <w:t>the failure by the Admission Body to pay any sums due to the Administering Authority or to the Fund within the periods specified in this Agreement or in the Regulations or in any other case within 30 calendar days of receipt of a written notice from the Administering Authority requiring the Admission Body to do so; </w:t>
      </w:r>
    </w:p>
    <w:p w:rsidR="00582AE9" w:rsidRPr="00A22F0F" w:rsidRDefault="004129DC" w:rsidP="00582AE9">
      <w:pPr>
        <w:pStyle w:val="Level3"/>
        <w:tabs>
          <w:tab w:val="clear" w:pos="850"/>
          <w:tab w:val="num" w:pos="1701"/>
        </w:tabs>
        <w:spacing w:line="360" w:lineRule="auto"/>
        <w:ind w:left="1701"/>
        <w:jc w:val="left"/>
      </w:pPr>
      <w:r w:rsidRPr="00A22F0F">
        <w:t xml:space="preserve">the failure by the Admission Body to renew or adjust the level of any bond/indemnity which is required to be in place. </w:t>
      </w:r>
    </w:p>
    <w:p w:rsidR="00582AE9" w:rsidRDefault="009B1438" w:rsidP="00582AE9">
      <w:pPr>
        <w:pStyle w:val="Level2"/>
        <w:numPr>
          <w:ilvl w:val="0"/>
          <w:numId w:val="0"/>
        </w:numPr>
        <w:spacing w:line="360" w:lineRule="auto"/>
        <w:jc w:val="left"/>
        <w:rPr>
          <w:b/>
          <w:bCs/>
        </w:rPr>
      </w:pPr>
    </w:p>
    <w:p w:rsidR="00582AE9" w:rsidRDefault="009B1438" w:rsidP="00582AE9"/>
    <w:p w:rsidR="00582AE9" w:rsidRDefault="009B1438" w:rsidP="00582AE9"/>
    <w:p w:rsidR="00582AE9" w:rsidRPr="00971F7C" w:rsidRDefault="009B1438" w:rsidP="009848F1">
      <w:pPr>
        <w:rPr>
          <w:color w:val="auto"/>
          <w:lang w:val="en-GB"/>
        </w:rPr>
      </w:pPr>
    </w:p>
    <w:sectPr w:rsidR="00582AE9" w:rsidRPr="00971F7C" w:rsidSect="00147856">
      <w:headerReference w:type="default" r:id="rId13"/>
      <w:footerReference w:type="default" r:id="rId14"/>
      <w:pgSz w:w="11907" w:h="16839" w:code="9"/>
      <w:pgMar w:top="1134" w:right="1134" w:bottom="142" w:left="1134" w:header="709" w:footer="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A9" w:rsidRDefault="004129DC">
      <w:pPr>
        <w:spacing w:after="0" w:line="240" w:lineRule="auto"/>
      </w:pPr>
      <w:r>
        <w:separator/>
      </w:r>
    </w:p>
  </w:endnote>
  <w:endnote w:type="continuationSeparator" w:id="0">
    <w:p w:rsidR="00066DA9" w:rsidRDefault="0041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R">
    <w:altName w:val="Times New Roman"/>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S Lol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15083"/>
      <w:docPartObj>
        <w:docPartGallery w:val="Page Numbers (Bottom of Page)"/>
        <w:docPartUnique/>
      </w:docPartObj>
    </w:sdtPr>
    <w:sdtEndPr>
      <w:rPr>
        <w:noProof/>
      </w:rPr>
    </w:sdtEndPr>
    <w:sdtContent>
      <w:p w:rsidR="00926389" w:rsidRDefault="004129DC">
        <w:pPr>
          <w:pStyle w:val="Footer"/>
          <w:jc w:val="right"/>
        </w:pPr>
        <w:r>
          <w:fldChar w:fldCharType="begin"/>
        </w:r>
        <w:r>
          <w:instrText xml:space="preserve"> PAGE   \* MERGEFORMAT </w:instrText>
        </w:r>
        <w:r>
          <w:fldChar w:fldCharType="separate"/>
        </w:r>
        <w:r w:rsidR="009B1438">
          <w:rPr>
            <w:noProof/>
          </w:rPr>
          <w:t>19</w:t>
        </w:r>
        <w:r>
          <w:rPr>
            <w:noProof/>
          </w:rPr>
          <w:fldChar w:fldCharType="end"/>
        </w:r>
      </w:p>
    </w:sdtContent>
  </w:sdt>
  <w:p w:rsidR="00926389" w:rsidRPr="00F649AA" w:rsidRDefault="009B1438" w:rsidP="0096232E">
    <w:pPr>
      <w:pStyle w:val="ClientNameHeaderand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A9" w:rsidRDefault="004129DC">
      <w:pPr>
        <w:spacing w:after="0" w:line="240" w:lineRule="auto"/>
      </w:pPr>
      <w:r>
        <w:separator/>
      </w:r>
    </w:p>
  </w:footnote>
  <w:footnote w:type="continuationSeparator" w:id="0">
    <w:p w:rsidR="00066DA9" w:rsidRDefault="0041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927"/>
      <w:gridCol w:w="4927"/>
    </w:tblGrid>
    <w:tr w:rsidR="00344056" w:rsidTr="00945DFC">
      <w:tc>
        <w:tcPr>
          <w:tcW w:w="4927" w:type="dxa"/>
          <w:shd w:val="clear" w:color="auto" w:fill="auto"/>
        </w:tcPr>
        <w:p w:rsidR="00926389" w:rsidRPr="003A1F16" w:rsidRDefault="004129DC" w:rsidP="00162313">
          <w:pPr>
            <w:pStyle w:val="ReporttitleHeader"/>
          </w:pPr>
          <w:r>
            <w:t>lancashire county pension fund</w:t>
          </w:r>
        </w:p>
      </w:tc>
      <w:tc>
        <w:tcPr>
          <w:tcW w:w="4927" w:type="dxa"/>
          <w:shd w:val="clear" w:color="auto" w:fill="auto"/>
        </w:tcPr>
        <w:p w:rsidR="00926389" w:rsidRPr="00224285" w:rsidRDefault="004129DC" w:rsidP="00224285">
          <w:pPr>
            <w:pStyle w:val="ClientNameHeaderandfooter"/>
            <w:jc w:val="right"/>
            <w:rPr>
              <w:spacing w:val="0"/>
            </w:rPr>
          </w:pPr>
          <w:r w:rsidRPr="0093148F">
            <w:rPr>
              <w:b/>
            </w:rPr>
            <w:t>admission and termination policy</w:t>
          </w:r>
        </w:p>
      </w:tc>
    </w:tr>
  </w:tbl>
  <w:p w:rsidR="00926389" w:rsidRDefault="009B1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0B2"/>
    <w:multiLevelType w:val="hybridMultilevel"/>
    <w:tmpl w:val="E474DD58"/>
    <w:lvl w:ilvl="0" w:tplc="70D07850">
      <w:start w:val="3"/>
      <w:numFmt w:val="bullet"/>
      <w:lvlText w:val="-"/>
      <w:lvlJc w:val="left"/>
      <w:pPr>
        <w:ind w:left="720" w:hanging="360"/>
      </w:pPr>
      <w:rPr>
        <w:rFonts w:ascii="Arial" w:eastAsia="Times New Roman" w:hAnsi="Arial" w:cs="Arial" w:hint="default"/>
      </w:rPr>
    </w:lvl>
    <w:lvl w:ilvl="1" w:tplc="396A130E" w:tentative="1">
      <w:start w:val="1"/>
      <w:numFmt w:val="bullet"/>
      <w:lvlText w:val="o"/>
      <w:lvlJc w:val="left"/>
      <w:pPr>
        <w:ind w:left="1440" w:hanging="360"/>
      </w:pPr>
      <w:rPr>
        <w:rFonts w:ascii="Courier New" w:hAnsi="Courier New" w:cs="Courier New" w:hint="default"/>
      </w:rPr>
    </w:lvl>
    <w:lvl w:ilvl="2" w:tplc="60BEC19C" w:tentative="1">
      <w:start w:val="1"/>
      <w:numFmt w:val="bullet"/>
      <w:lvlText w:val=""/>
      <w:lvlJc w:val="left"/>
      <w:pPr>
        <w:ind w:left="2160" w:hanging="360"/>
      </w:pPr>
      <w:rPr>
        <w:rFonts w:ascii="Wingdings" w:hAnsi="Wingdings" w:hint="default"/>
      </w:rPr>
    </w:lvl>
    <w:lvl w:ilvl="3" w:tplc="255CADF6" w:tentative="1">
      <w:start w:val="1"/>
      <w:numFmt w:val="bullet"/>
      <w:lvlText w:val=""/>
      <w:lvlJc w:val="left"/>
      <w:pPr>
        <w:ind w:left="2880" w:hanging="360"/>
      </w:pPr>
      <w:rPr>
        <w:rFonts w:ascii="Symbol" w:hAnsi="Symbol" w:hint="default"/>
      </w:rPr>
    </w:lvl>
    <w:lvl w:ilvl="4" w:tplc="4B3249EE" w:tentative="1">
      <w:start w:val="1"/>
      <w:numFmt w:val="bullet"/>
      <w:lvlText w:val="o"/>
      <w:lvlJc w:val="left"/>
      <w:pPr>
        <w:ind w:left="3600" w:hanging="360"/>
      </w:pPr>
      <w:rPr>
        <w:rFonts w:ascii="Courier New" w:hAnsi="Courier New" w:cs="Courier New" w:hint="default"/>
      </w:rPr>
    </w:lvl>
    <w:lvl w:ilvl="5" w:tplc="AFFA9422" w:tentative="1">
      <w:start w:val="1"/>
      <w:numFmt w:val="bullet"/>
      <w:lvlText w:val=""/>
      <w:lvlJc w:val="left"/>
      <w:pPr>
        <w:ind w:left="4320" w:hanging="360"/>
      </w:pPr>
      <w:rPr>
        <w:rFonts w:ascii="Wingdings" w:hAnsi="Wingdings" w:hint="default"/>
      </w:rPr>
    </w:lvl>
    <w:lvl w:ilvl="6" w:tplc="7B04D566" w:tentative="1">
      <w:start w:val="1"/>
      <w:numFmt w:val="bullet"/>
      <w:lvlText w:val=""/>
      <w:lvlJc w:val="left"/>
      <w:pPr>
        <w:ind w:left="5040" w:hanging="360"/>
      </w:pPr>
      <w:rPr>
        <w:rFonts w:ascii="Symbol" w:hAnsi="Symbol" w:hint="default"/>
      </w:rPr>
    </w:lvl>
    <w:lvl w:ilvl="7" w:tplc="4E768EC8" w:tentative="1">
      <w:start w:val="1"/>
      <w:numFmt w:val="bullet"/>
      <w:lvlText w:val="o"/>
      <w:lvlJc w:val="left"/>
      <w:pPr>
        <w:ind w:left="5760" w:hanging="360"/>
      </w:pPr>
      <w:rPr>
        <w:rFonts w:ascii="Courier New" w:hAnsi="Courier New" w:cs="Courier New" w:hint="default"/>
      </w:rPr>
    </w:lvl>
    <w:lvl w:ilvl="8" w:tplc="F69452CE" w:tentative="1">
      <w:start w:val="1"/>
      <w:numFmt w:val="bullet"/>
      <w:lvlText w:val=""/>
      <w:lvlJc w:val="left"/>
      <w:pPr>
        <w:ind w:left="6480" w:hanging="360"/>
      </w:pPr>
      <w:rPr>
        <w:rFonts w:ascii="Wingdings" w:hAnsi="Wingdings" w:hint="default"/>
      </w:rPr>
    </w:lvl>
  </w:abstractNum>
  <w:abstractNum w:abstractNumId="1" w15:restartNumberingAfterBreak="0">
    <w:nsid w:val="01E1522E"/>
    <w:multiLevelType w:val="hybridMultilevel"/>
    <w:tmpl w:val="E3664EA0"/>
    <w:lvl w:ilvl="0" w:tplc="C5F87934">
      <w:start w:val="1"/>
      <w:numFmt w:val="lowerLetter"/>
      <w:lvlText w:val="%1)"/>
      <w:lvlJc w:val="left"/>
      <w:pPr>
        <w:ind w:left="720" w:hanging="360"/>
      </w:pPr>
      <w:rPr>
        <w:rFonts w:hint="default"/>
      </w:rPr>
    </w:lvl>
    <w:lvl w:ilvl="1" w:tplc="2C1204C6" w:tentative="1">
      <w:start w:val="1"/>
      <w:numFmt w:val="bullet"/>
      <w:lvlText w:val="o"/>
      <w:lvlJc w:val="left"/>
      <w:pPr>
        <w:ind w:left="1440" w:hanging="360"/>
      </w:pPr>
      <w:rPr>
        <w:rFonts w:ascii="Courier New" w:hAnsi="Courier New" w:cs="Courier New" w:hint="default"/>
      </w:rPr>
    </w:lvl>
    <w:lvl w:ilvl="2" w:tplc="8040AEBA" w:tentative="1">
      <w:start w:val="1"/>
      <w:numFmt w:val="bullet"/>
      <w:lvlText w:val=""/>
      <w:lvlJc w:val="left"/>
      <w:pPr>
        <w:ind w:left="2160" w:hanging="360"/>
      </w:pPr>
      <w:rPr>
        <w:rFonts w:ascii="Wingdings" w:hAnsi="Wingdings" w:hint="default"/>
      </w:rPr>
    </w:lvl>
    <w:lvl w:ilvl="3" w:tplc="903A6F2A" w:tentative="1">
      <w:start w:val="1"/>
      <w:numFmt w:val="bullet"/>
      <w:lvlText w:val=""/>
      <w:lvlJc w:val="left"/>
      <w:pPr>
        <w:ind w:left="2880" w:hanging="360"/>
      </w:pPr>
      <w:rPr>
        <w:rFonts w:ascii="Symbol" w:hAnsi="Symbol" w:hint="default"/>
      </w:rPr>
    </w:lvl>
    <w:lvl w:ilvl="4" w:tplc="170EB600" w:tentative="1">
      <w:start w:val="1"/>
      <w:numFmt w:val="bullet"/>
      <w:lvlText w:val="o"/>
      <w:lvlJc w:val="left"/>
      <w:pPr>
        <w:ind w:left="3600" w:hanging="360"/>
      </w:pPr>
      <w:rPr>
        <w:rFonts w:ascii="Courier New" w:hAnsi="Courier New" w:cs="Courier New" w:hint="default"/>
      </w:rPr>
    </w:lvl>
    <w:lvl w:ilvl="5" w:tplc="BF803A0E" w:tentative="1">
      <w:start w:val="1"/>
      <w:numFmt w:val="bullet"/>
      <w:lvlText w:val=""/>
      <w:lvlJc w:val="left"/>
      <w:pPr>
        <w:ind w:left="4320" w:hanging="360"/>
      </w:pPr>
      <w:rPr>
        <w:rFonts w:ascii="Wingdings" w:hAnsi="Wingdings" w:hint="default"/>
      </w:rPr>
    </w:lvl>
    <w:lvl w:ilvl="6" w:tplc="804C5982" w:tentative="1">
      <w:start w:val="1"/>
      <w:numFmt w:val="bullet"/>
      <w:lvlText w:val=""/>
      <w:lvlJc w:val="left"/>
      <w:pPr>
        <w:ind w:left="5040" w:hanging="360"/>
      </w:pPr>
      <w:rPr>
        <w:rFonts w:ascii="Symbol" w:hAnsi="Symbol" w:hint="default"/>
      </w:rPr>
    </w:lvl>
    <w:lvl w:ilvl="7" w:tplc="3760BCC4" w:tentative="1">
      <w:start w:val="1"/>
      <w:numFmt w:val="bullet"/>
      <w:lvlText w:val="o"/>
      <w:lvlJc w:val="left"/>
      <w:pPr>
        <w:ind w:left="5760" w:hanging="360"/>
      </w:pPr>
      <w:rPr>
        <w:rFonts w:ascii="Courier New" w:hAnsi="Courier New" w:cs="Courier New" w:hint="default"/>
      </w:rPr>
    </w:lvl>
    <w:lvl w:ilvl="8" w:tplc="2FAE9056" w:tentative="1">
      <w:start w:val="1"/>
      <w:numFmt w:val="bullet"/>
      <w:lvlText w:val=""/>
      <w:lvlJc w:val="left"/>
      <w:pPr>
        <w:ind w:left="6480" w:hanging="360"/>
      </w:pPr>
      <w:rPr>
        <w:rFonts w:ascii="Wingdings" w:hAnsi="Wingdings" w:hint="default"/>
      </w:rPr>
    </w:lvl>
  </w:abstractNum>
  <w:abstractNum w:abstractNumId="2" w15:restartNumberingAfterBreak="0">
    <w:nsid w:val="02AF0F80"/>
    <w:multiLevelType w:val="hybridMultilevel"/>
    <w:tmpl w:val="883CE0E4"/>
    <w:lvl w:ilvl="0" w:tplc="C0F87556">
      <w:start w:val="1"/>
      <w:numFmt w:val="upperRoman"/>
      <w:lvlText w:val="%1."/>
      <w:lvlJc w:val="right"/>
      <w:pPr>
        <w:ind w:left="720" w:hanging="360"/>
      </w:pPr>
      <w:rPr>
        <w:rFonts w:hint="default"/>
      </w:rPr>
    </w:lvl>
    <w:lvl w:ilvl="1" w:tplc="BE72BD32">
      <w:start w:val="1"/>
      <w:numFmt w:val="bullet"/>
      <w:lvlText w:val="o"/>
      <w:lvlJc w:val="left"/>
      <w:pPr>
        <w:ind w:left="1440" w:hanging="360"/>
      </w:pPr>
      <w:rPr>
        <w:rFonts w:ascii="Courier New" w:hAnsi="Courier New" w:cs="Courier New" w:hint="default"/>
      </w:rPr>
    </w:lvl>
    <w:lvl w:ilvl="2" w:tplc="CFA8DAE0">
      <w:start w:val="1"/>
      <w:numFmt w:val="bullet"/>
      <w:lvlText w:val=""/>
      <w:lvlJc w:val="left"/>
      <w:pPr>
        <w:ind w:left="2160" w:hanging="360"/>
      </w:pPr>
      <w:rPr>
        <w:rFonts w:ascii="Wingdings" w:hAnsi="Wingdings" w:hint="default"/>
      </w:rPr>
    </w:lvl>
    <w:lvl w:ilvl="3" w:tplc="3FE6DD0C">
      <w:start w:val="1"/>
      <w:numFmt w:val="bullet"/>
      <w:lvlText w:val=""/>
      <w:lvlJc w:val="left"/>
      <w:pPr>
        <w:ind w:left="2880" w:hanging="360"/>
      </w:pPr>
      <w:rPr>
        <w:rFonts w:ascii="Symbol" w:hAnsi="Symbol" w:hint="default"/>
      </w:rPr>
    </w:lvl>
    <w:lvl w:ilvl="4" w:tplc="B6B82D5A">
      <w:start w:val="1"/>
      <w:numFmt w:val="bullet"/>
      <w:lvlText w:val="o"/>
      <w:lvlJc w:val="left"/>
      <w:pPr>
        <w:ind w:left="3600" w:hanging="360"/>
      </w:pPr>
      <w:rPr>
        <w:rFonts w:ascii="Courier New" w:hAnsi="Courier New" w:cs="Courier New" w:hint="default"/>
      </w:rPr>
    </w:lvl>
    <w:lvl w:ilvl="5" w:tplc="55D0A4B4">
      <w:start w:val="1"/>
      <w:numFmt w:val="bullet"/>
      <w:lvlText w:val=""/>
      <w:lvlJc w:val="left"/>
      <w:pPr>
        <w:ind w:left="4320" w:hanging="360"/>
      </w:pPr>
      <w:rPr>
        <w:rFonts w:ascii="Wingdings" w:hAnsi="Wingdings" w:hint="default"/>
      </w:rPr>
    </w:lvl>
    <w:lvl w:ilvl="6" w:tplc="0C961C32">
      <w:start w:val="1"/>
      <w:numFmt w:val="bullet"/>
      <w:lvlText w:val=""/>
      <w:lvlJc w:val="left"/>
      <w:pPr>
        <w:ind w:left="5040" w:hanging="360"/>
      </w:pPr>
      <w:rPr>
        <w:rFonts w:ascii="Symbol" w:hAnsi="Symbol" w:hint="default"/>
      </w:rPr>
    </w:lvl>
    <w:lvl w:ilvl="7" w:tplc="F17E379A">
      <w:start w:val="1"/>
      <w:numFmt w:val="bullet"/>
      <w:lvlText w:val="o"/>
      <w:lvlJc w:val="left"/>
      <w:pPr>
        <w:ind w:left="5760" w:hanging="360"/>
      </w:pPr>
      <w:rPr>
        <w:rFonts w:ascii="Courier New" w:hAnsi="Courier New" w:cs="Courier New" w:hint="default"/>
      </w:rPr>
    </w:lvl>
    <w:lvl w:ilvl="8" w:tplc="746A8014">
      <w:start w:val="1"/>
      <w:numFmt w:val="bullet"/>
      <w:lvlText w:val=""/>
      <w:lvlJc w:val="left"/>
      <w:pPr>
        <w:ind w:left="6480" w:hanging="360"/>
      </w:pPr>
      <w:rPr>
        <w:rFonts w:ascii="Wingdings" w:hAnsi="Wingdings" w:hint="default"/>
      </w:rPr>
    </w:lvl>
  </w:abstractNum>
  <w:abstractNum w:abstractNumId="3" w15:restartNumberingAfterBreak="0">
    <w:nsid w:val="0AE40DA8"/>
    <w:multiLevelType w:val="hybridMultilevel"/>
    <w:tmpl w:val="1AB29E6E"/>
    <w:lvl w:ilvl="0" w:tplc="F60264B4">
      <w:start w:val="1"/>
      <w:numFmt w:val="upperRoman"/>
      <w:lvlText w:val="%1."/>
      <w:lvlJc w:val="right"/>
      <w:pPr>
        <w:ind w:left="720" w:hanging="360"/>
      </w:pPr>
      <w:rPr>
        <w:rFonts w:hint="default"/>
      </w:rPr>
    </w:lvl>
    <w:lvl w:ilvl="1" w:tplc="A792FBB6" w:tentative="1">
      <w:start w:val="1"/>
      <w:numFmt w:val="bullet"/>
      <w:lvlText w:val="o"/>
      <w:lvlJc w:val="left"/>
      <w:pPr>
        <w:ind w:left="1440" w:hanging="360"/>
      </w:pPr>
      <w:rPr>
        <w:rFonts w:ascii="Courier New" w:hAnsi="Courier New" w:cs="Courier New" w:hint="default"/>
      </w:rPr>
    </w:lvl>
    <w:lvl w:ilvl="2" w:tplc="3E9E817A" w:tentative="1">
      <w:start w:val="1"/>
      <w:numFmt w:val="bullet"/>
      <w:lvlText w:val=""/>
      <w:lvlJc w:val="left"/>
      <w:pPr>
        <w:ind w:left="2160" w:hanging="360"/>
      </w:pPr>
      <w:rPr>
        <w:rFonts w:ascii="Wingdings" w:hAnsi="Wingdings" w:hint="default"/>
      </w:rPr>
    </w:lvl>
    <w:lvl w:ilvl="3" w:tplc="92AAF67E" w:tentative="1">
      <w:start w:val="1"/>
      <w:numFmt w:val="bullet"/>
      <w:lvlText w:val=""/>
      <w:lvlJc w:val="left"/>
      <w:pPr>
        <w:ind w:left="2880" w:hanging="360"/>
      </w:pPr>
      <w:rPr>
        <w:rFonts w:ascii="Symbol" w:hAnsi="Symbol" w:hint="default"/>
      </w:rPr>
    </w:lvl>
    <w:lvl w:ilvl="4" w:tplc="04A44D26" w:tentative="1">
      <w:start w:val="1"/>
      <w:numFmt w:val="bullet"/>
      <w:lvlText w:val="o"/>
      <w:lvlJc w:val="left"/>
      <w:pPr>
        <w:ind w:left="3600" w:hanging="360"/>
      </w:pPr>
      <w:rPr>
        <w:rFonts w:ascii="Courier New" w:hAnsi="Courier New" w:cs="Courier New" w:hint="default"/>
      </w:rPr>
    </w:lvl>
    <w:lvl w:ilvl="5" w:tplc="F806B0B6" w:tentative="1">
      <w:start w:val="1"/>
      <w:numFmt w:val="bullet"/>
      <w:lvlText w:val=""/>
      <w:lvlJc w:val="left"/>
      <w:pPr>
        <w:ind w:left="4320" w:hanging="360"/>
      </w:pPr>
      <w:rPr>
        <w:rFonts w:ascii="Wingdings" w:hAnsi="Wingdings" w:hint="default"/>
      </w:rPr>
    </w:lvl>
    <w:lvl w:ilvl="6" w:tplc="D096CAE0" w:tentative="1">
      <w:start w:val="1"/>
      <w:numFmt w:val="bullet"/>
      <w:lvlText w:val=""/>
      <w:lvlJc w:val="left"/>
      <w:pPr>
        <w:ind w:left="5040" w:hanging="360"/>
      </w:pPr>
      <w:rPr>
        <w:rFonts w:ascii="Symbol" w:hAnsi="Symbol" w:hint="default"/>
      </w:rPr>
    </w:lvl>
    <w:lvl w:ilvl="7" w:tplc="80F478D4" w:tentative="1">
      <w:start w:val="1"/>
      <w:numFmt w:val="bullet"/>
      <w:lvlText w:val="o"/>
      <w:lvlJc w:val="left"/>
      <w:pPr>
        <w:ind w:left="5760" w:hanging="360"/>
      </w:pPr>
      <w:rPr>
        <w:rFonts w:ascii="Courier New" w:hAnsi="Courier New" w:cs="Courier New" w:hint="default"/>
      </w:rPr>
    </w:lvl>
    <w:lvl w:ilvl="8" w:tplc="CDEC4AE6" w:tentative="1">
      <w:start w:val="1"/>
      <w:numFmt w:val="bullet"/>
      <w:lvlText w:val=""/>
      <w:lvlJc w:val="left"/>
      <w:pPr>
        <w:ind w:left="6480" w:hanging="360"/>
      </w:pPr>
      <w:rPr>
        <w:rFonts w:ascii="Wingdings" w:hAnsi="Wingdings" w:hint="default"/>
      </w:rPr>
    </w:lvl>
  </w:abstractNum>
  <w:abstractNum w:abstractNumId="4" w15:restartNumberingAfterBreak="0">
    <w:nsid w:val="0BAE494C"/>
    <w:multiLevelType w:val="hybridMultilevel"/>
    <w:tmpl w:val="CA7EF10A"/>
    <w:lvl w:ilvl="0" w:tplc="6FD6CB46">
      <w:start w:val="1"/>
      <w:numFmt w:val="bullet"/>
      <w:lvlText w:val=""/>
      <w:lvlJc w:val="left"/>
      <w:pPr>
        <w:tabs>
          <w:tab w:val="num" w:pos="1080"/>
        </w:tabs>
        <w:ind w:left="1080" w:hanging="360"/>
      </w:pPr>
      <w:rPr>
        <w:rFonts w:ascii="Wingdings" w:hAnsi="Wingdings" w:hint="default"/>
      </w:rPr>
    </w:lvl>
    <w:lvl w:ilvl="1" w:tplc="D32E17A2">
      <w:start w:val="1"/>
      <w:numFmt w:val="bullet"/>
      <w:lvlText w:val="o"/>
      <w:lvlJc w:val="left"/>
      <w:pPr>
        <w:tabs>
          <w:tab w:val="num" w:pos="1620"/>
        </w:tabs>
        <w:ind w:left="1620" w:hanging="360"/>
      </w:pPr>
      <w:rPr>
        <w:rFonts w:ascii="Courier New" w:hAnsi="Courier New" w:cs="Courier New" w:hint="default"/>
      </w:rPr>
    </w:lvl>
    <w:lvl w:ilvl="2" w:tplc="0960F654" w:tentative="1">
      <w:start w:val="1"/>
      <w:numFmt w:val="bullet"/>
      <w:lvlText w:val=""/>
      <w:lvlJc w:val="left"/>
      <w:pPr>
        <w:tabs>
          <w:tab w:val="num" w:pos="2340"/>
        </w:tabs>
        <w:ind w:left="2340" w:hanging="360"/>
      </w:pPr>
      <w:rPr>
        <w:rFonts w:ascii="Wingdings" w:hAnsi="Wingdings" w:hint="default"/>
      </w:rPr>
    </w:lvl>
    <w:lvl w:ilvl="3" w:tplc="977268AA" w:tentative="1">
      <w:start w:val="1"/>
      <w:numFmt w:val="bullet"/>
      <w:lvlText w:val=""/>
      <w:lvlJc w:val="left"/>
      <w:pPr>
        <w:tabs>
          <w:tab w:val="num" w:pos="3060"/>
        </w:tabs>
        <w:ind w:left="3060" w:hanging="360"/>
      </w:pPr>
      <w:rPr>
        <w:rFonts w:ascii="Symbol" w:hAnsi="Symbol" w:hint="default"/>
      </w:rPr>
    </w:lvl>
    <w:lvl w:ilvl="4" w:tplc="B22E3B9C" w:tentative="1">
      <w:start w:val="1"/>
      <w:numFmt w:val="bullet"/>
      <w:lvlText w:val="o"/>
      <w:lvlJc w:val="left"/>
      <w:pPr>
        <w:tabs>
          <w:tab w:val="num" w:pos="3780"/>
        </w:tabs>
        <w:ind w:left="3780" w:hanging="360"/>
      </w:pPr>
      <w:rPr>
        <w:rFonts w:ascii="Courier New" w:hAnsi="Courier New" w:cs="Courier New" w:hint="default"/>
      </w:rPr>
    </w:lvl>
    <w:lvl w:ilvl="5" w:tplc="19C044EA" w:tentative="1">
      <w:start w:val="1"/>
      <w:numFmt w:val="bullet"/>
      <w:lvlText w:val=""/>
      <w:lvlJc w:val="left"/>
      <w:pPr>
        <w:tabs>
          <w:tab w:val="num" w:pos="4500"/>
        </w:tabs>
        <w:ind w:left="4500" w:hanging="360"/>
      </w:pPr>
      <w:rPr>
        <w:rFonts w:ascii="Wingdings" w:hAnsi="Wingdings" w:hint="default"/>
      </w:rPr>
    </w:lvl>
    <w:lvl w:ilvl="6" w:tplc="308CF77C" w:tentative="1">
      <w:start w:val="1"/>
      <w:numFmt w:val="bullet"/>
      <w:lvlText w:val=""/>
      <w:lvlJc w:val="left"/>
      <w:pPr>
        <w:tabs>
          <w:tab w:val="num" w:pos="5220"/>
        </w:tabs>
        <w:ind w:left="5220" w:hanging="360"/>
      </w:pPr>
      <w:rPr>
        <w:rFonts w:ascii="Symbol" w:hAnsi="Symbol" w:hint="default"/>
      </w:rPr>
    </w:lvl>
    <w:lvl w:ilvl="7" w:tplc="E4C4E2FC" w:tentative="1">
      <w:start w:val="1"/>
      <w:numFmt w:val="bullet"/>
      <w:lvlText w:val="o"/>
      <w:lvlJc w:val="left"/>
      <w:pPr>
        <w:tabs>
          <w:tab w:val="num" w:pos="5940"/>
        </w:tabs>
        <w:ind w:left="5940" w:hanging="360"/>
      </w:pPr>
      <w:rPr>
        <w:rFonts w:ascii="Courier New" w:hAnsi="Courier New" w:cs="Courier New" w:hint="default"/>
      </w:rPr>
    </w:lvl>
    <w:lvl w:ilvl="8" w:tplc="8490F3CE"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3072B15"/>
    <w:multiLevelType w:val="hybridMultilevel"/>
    <w:tmpl w:val="B2840DC8"/>
    <w:lvl w:ilvl="0" w:tplc="2272E6B8">
      <w:start w:val="3"/>
      <w:numFmt w:val="bullet"/>
      <w:lvlText w:val="-"/>
      <w:lvlJc w:val="left"/>
      <w:pPr>
        <w:ind w:left="720" w:hanging="360"/>
      </w:pPr>
      <w:rPr>
        <w:rFonts w:ascii="Arial" w:eastAsia="Times New Roman" w:hAnsi="Arial" w:cs="Arial" w:hint="default"/>
      </w:rPr>
    </w:lvl>
    <w:lvl w:ilvl="1" w:tplc="CE3A4528" w:tentative="1">
      <w:start w:val="1"/>
      <w:numFmt w:val="bullet"/>
      <w:lvlText w:val="o"/>
      <w:lvlJc w:val="left"/>
      <w:pPr>
        <w:ind w:left="1440" w:hanging="360"/>
      </w:pPr>
      <w:rPr>
        <w:rFonts w:ascii="Courier New" w:hAnsi="Courier New" w:cs="Courier New" w:hint="default"/>
      </w:rPr>
    </w:lvl>
    <w:lvl w:ilvl="2" w:tplc="7A048236" w:tentative="1">
      <w:start w:val="1"/>
      <w:numFmt w:val="bullet"/>
      <w:lvlText w:val=""/>
      <w:lvlJc w:val="left"/>
      <w:pPr>
        <w:ind w:left="2160" w:hanging="360"/>
      </w:pPr>
      <w:rPr>
        <w:rFonts w:ascii="Wingdings" w:hAnsi="Wingdings" w:hint="default"/>
      </w:rPr>
    </w:lvl>
    <w:lvl w:ilvl="3" w:tplc="C26421B8" w:tentative="1">
      <w:start w:val="1"/>
      <w:numFmt w:val="bullet"/>
      <w:lvlText w:val=""/>
      <w:lvlJc w:val="left"/>
      <w:pPr>
        <w:ind w:left="2880" w:hanging="360"/>
      </w:pPr>
      <w:rPr>
        <w:rFonts w:ascii="Symbol" w:hAnsi="Symbol" w:hint="default"/>
      </w:rPr>
    </w:lvl>
    <w:lvl w:ilvl="4" w:tplc="F5DA3BDC" w:tentative="1">
      <w:start w:val="1"/>
      <w:numFmt w:val="bullet"/>
      <w:lvlText w:val="o"/>
      <w:lvlJc w:val="left"/>
      <w:pPr>
        <w:ind w:left="3600" w:hanging="360"/>
      </w:pPr>
      <w:rPr>
        <w:rFonts w:ascii="Courier New" w:hAnsi="Courier New" w:cs="Courier New" w:hint="default"/>
      </w:rPr>
    </w:lvl>
    <w:lvl w:ilvl="5" w:tplc="BD3ACFB8" w:tentative="1">
      <w:start w:val="1"/>
      <w:numFmt w:val="bullet"/>
      <w:lvlText w:val=""/>
      <w:lvlJc w:val="left"/>
      <w:pPr>
        <w:ind w:left="4320" w:hanging="360"/>
      </w:pPr>
      <w:rPr>
        <w:rFonts w:ascii="Wingdings" w:hAnsi="Wingdings" w:hint="default"/>
      </w:rPr>
    </w:lvl>
    <w:lvl w:ilvl="6" w:tplc="3F807F02" w:tentative="1">
      <w:start w:val="1"/>
      <w:numFmt w:val="bullet"/>
      <w:lvlText w:val=""/>
      <w:lvlJc w:val="left"/>
      <w:pPr>
        <w:ind w:left="5040" w:hanging="360"/>
      </w:pPr>
      <w:rPr>
        <w:rFonts w:ascii="Symbol" w:hAnsi="Symbol" w:hint="default"/>
      </w:rPr>
    </w:lvl>
    <w:lvl w:ilvl="7" w:tplc="DA5EE1C0" w:tentative="1">
      <w:start w:val="1"/>
      <w:numFmt w:val="bullet"/>
      <w:lvlText w:val="o"/>
      <w:lvlJc w:val="left"/>
      <w:pPr>
        <w:ind w:left="5760" w:hanging="360"/>
      </w:pPr>
      <w:rPr>
        <w:rFonts w:ascii="Courier New" w:hAnsi="Courier New" w:cs="Courier New" w:hint="default"/>
      </w:rPr>
    </w:lvl>
    <w:lvl w:ilvl="8" w:tplc="436603CA" w:tentative="1">
      <w:start w:val="1"/>
      <w:numFmt w:val="bullet"/>
      <w:lvlText w:val=""/>
      <w:lvlJc w:val="left"/>
      <w:pPr>
        <w:ind w:left="6480" w:hanging="360"/>
      </w:pPr>
      <w:rPr>
        <w:rFonts w:ascii="Wingdings" w:hAnsi="Wingdings" w:hint="default"/>
      </w:rPr>
    </w:lvl>
  </w:abstractNum>
  <w:abstractNum w:abstractNumId="6" w15:restartNumberingAfterBreak="0">
    <w:nsid w:val="179A3027"/>
    <w:multiLevelType w:val="hybridMultilevel"/>
    <w:tmpl w:val="04164064"/>
    <w:lvl w:ilvl="0" w:tplc="F4DEA7C2">
      <w:start w:val="1"/>
      <w:numFmt w:val="bullet"/>
      <w:pStyle w:val="TOC2"/>
      <w:lvlText w:val=""/>
      <w:lvlJc w:val="left"/>
      <w:pPr>
        <w:ind w:left="720" w:hanging="360"/>
      </w:pPr>
      <w:rPr>
        <w:rFonts w:ascii="Symbol" w:hAnsi="Symbol" w:hint="default"/>
        <w:color w:val="7C848A"/>
      </w:rPr>
    </w:lvl>
    <w:lvl w:ilvl="1" w:tplc="45147652" w:tentative="1">
      <w:start w:val="1"/>
      <w:numFmt w:val="bullet"/>
      <w:lvlText w:val="o"/>
      <w:lvlJc w:val="left"/>
      <w:pPr>
        <w:ind w:left="1800" w:hanging="360"/>
      </w:pPr>
      <w:rPr>
        <w:rFonts w:ascii="Courier New" w:hAnsi="Courier New" w:cs="Courier New" w:hint="default"/>
      </w:rPr>
    </w:lvl>
    <w:lvl w:ilvl="2" w:tplc="CD327FB6" w:tentative="1">
      <w:start w:val="1"/>
      <w:numFmt w:val="bullet"/>
      <w:lvlText w:val=""/>
      <w:lvlJc w:val="left"/>
      <w:pPr>
        <w:ind w:left="2520" w:hanging="360"/>
      </w:pPr>
      <w:rPr>
        <w:rFonts w:ascii="Wingdings" w:hAnsi="Wingdings" w:hint="default"/>
      </w:rPr>
    </w:lvl>
    <w:lvl w:ilvl="3" w:tplc="D8F85F38" w:tentative="1">
      <w:start w:val="1"/>
      <w:numFmt w:val="bullet"/>
      <w:lvlText w:val=""/>
      <w:lvlJc w:val="left"/>
      <w:pPr>
        <w:ind w:left="3240" w:hanging="360"/>
      </w:pPr>
      <w:rPr>
        <w:rFonts w:ascii="Symbol" w:hAnsi="Symbol" w:hint="default"/>
      </w:rPr>
    </w:lvl>
    <w:lvl w:ilvl="4" w:tplc="6B8A17FA" w:tentative="1">
      <w:start w:val="1"/>
      <w:numFmt w:val="bullet"/>
      <w:lvlText w:val="o"/>
      <w:lvlJc w:val="left"/>
      <w:pPr>
        <w:ind w:left="3960" w:hanging="360"/>
      </w:pPr>
      <w:rPr>
        <w:rFonts w:ascii="Courier New" w:hAnsi="Courier New" w:cs="Courier New" w:hint="default"/>
      </w:rPr>
    </w:lvl>
    <w:lvl w:ilvl="5" w:tplc="13FE5B06" w:tentative="1">
      <w:start w:val="1"/>
      <w:numFmt w:val="bullet"/>
      <w:lvlText w:val=""/>
      <w:lvlJc w:val="left"/>
      <w:pPr>
        <w:ind w:left="4680" w:hanging="360"/>
      </w:pPr>
      <w:rPr>
        <w:rFonts w:ascii="Wingdings" w:hAnsi="Wingdings" w:hint="default"/>
      </w:rPr>
    </w:lvl>
    <w:lvl w:ilvl="6" w:tplc="85467582" w:tentative="1">
      <w:start w:val="1"/>
      <w:numFmt w:val="bullet"/>
      <w:lvlText w:val=""/>
      <w:lvlJc w:val="left"/>
      <w:pPr>
        <w:ind w:left="5400" w:hanging="360"/>
      </w:pPr>
      <w:rPr>
        <w:rFonts w:ascii="Symbol" w:hAnsi="Symbol" w:hint="default"/>
      </w:rPr>
    </w:lvl>
    <w:lvl w:ilvl="7" w:tplc="987435AC" w:tentative="1">
      <w:start w:val="1"/>
      <w:numFmt w:val="bullet"/>
      <w:lvlText w:val="o"/>
      <w:lvlJc w:val="left"/>
      <w:pPr>
        <w:ind w:left="6120" w:hanging="360"/>
      </w:pPr>
      <w:rPr>
        <w:rFonts w:ascii="Courier New" w:hAnsi="Courier New" w:cs="Courier New" w:hint="default"/>
      </w:rPr>
    </w:lvl>
    <w:lvl w:ilvl="8" w:tplc="805A76F8" w:tentative="1">
      <w:start w:val="1"/>
      <w:numFmt w:val="bullet"/>
      <w:lvlText w:val=""/>
      <w:lvlJc w:val="left"/>
      <w:pPr>
        <w:ind w:left="6840" w:hanging="360"/>
      </w:pPr>
      <w:rPr>
        <w:rFonts w:ascii="Wingdings" w:hAnsi="Wingdings" w:hint="default"/>
      </w:rPr>
    </w:lvl>
  </w:abstractNum>
  <w:abstractNum w:abstractNumId="7" w15:restartNumberingAfterBreak="0">
    <w:nsid w:val="1B89105D"/>
    <w:multiLevelType w:val="hybridMultilevel"/>
    <w:tmpl w:val="8334CCFA"/>
    <w:lvl w:ilvl="0" w:tplc="03005760">
      <w:start w:val="1"/>
      <w:numFmt w:val="lowerLetter"/>
      <w:lvlText w:val="%1)"/>
      <w:lvlJc w:val="left"/>
      <w:pPr>
        <w:ind w:left="1080" w:hanging="360"/>
      </w:pPr>
      <w:rPr>
        <w:rFonts w:hint="default"/>
      </w:rPr>
    </w:lvl>
    <w:lvl w:ilvl="1" w:tplc="7FCADF94">
      <w:start w:val="1"/>
      <w:numFmt w:val="lowerRoman"/>
      <w:lvlText w:val="%2."/>
      <w:lvlJc w:val="right"/>
      <w:pPr>
        <w:ind w:left="1800" w:hanging="360"/>
      </w:pPr>
    </w:lvl>
    <w:lvl w:ilvl="2" w:tplc="AAC0F9B2" w:tentative="1">
      <w:start w:val="1"/>
      <w:numFmt w:val="lowerRoman"/>
      <w:lvlText w:val="%3."/>
      <w:lvlJc w:val="right"/>
      <w:pPr>
        <w:ind w:left="2520" w:hanging="180"/>
      </w:pPr>
    </w:lvl>
    <w:lvl w:ilvl="3" w:tplc="B5449214" w:tentative="1">
      <w:start w:val="1"/>
      <w:numFmt w:val="decimal"/>
      <w:lvlText w:val="%4."/>
      <w:lvlJc w:val="left"/>
      <w:pPr>
        <w:ind w:left="3240" w:hanging="360"/>
      </w:pPr>
    </w:lvl>
    <w:lvl w:ilvl="4" w:tplc="967E043C" w:tentative="1">
      <w:start w:val="1"/>
      <w:numFmt w:val="lowerLetter"/>
      <w:lvlText w:val="%5."/>
      <w:lvlJc w:val="left"/>
      <w:pPr>
        <w:ind w:left="3960" w:hanging="360"/>
      </w:pPr>
    </w:lvl>
    <w:lvl w:ilvl="5" w:tplc="F1307EF4" w:tentative="1">
      <w:start w:val="1"/>
      <w:numFmt w:val="lowerRoman"/>
      <w:lvlText w:val="%6."/>
      <w:lvlJc w:val="right"/>
      <w:pPr>
        <w:ind w:left="4680" w:hanging="180"/>
      </w:pPr>
    </w:lvl>
    <w:lvl w:ilvl="6" w:tplc="CB0AB558" w:tentative="1">
      <w:start w:val="1"/>
      <w:numFmt w:val="decimal"/>
      <w:lvlText w:val="%7."/>
      <w:lvlJc w:val="left"/>
      <w:pPr>
        <w:ind w:left="5400" w:hanging="360"/>
      </w:pPr>
    </w:lvl>
    <w:lvl w:ilvl="7" w:tplc="8C8A1E22" w:tentative="1">
      <w:start w:val="1"/>
      <w:numFmt w:val="lowerLetter"/>
      <w:lvlText w:val="%8."/>
      <w:lvlJc w:val="left"/>
      <w:pPr>
        <w:ind w:left="6120" w:hanging="360"/>
      </w:pPr>
    </w:lvl>
    <w:lvl w:ilvl="8" w:tplc="496C393A" w:tentative="1">
      <w:start w:val="1"/>
      <w:numFmt w:val="lowerRoman"/>
      <w:lvlText w:val="%9."/>
      <w:lvlJc w:val="right"/>
      <w:pPr>
        <w:ind w:left="6840" w:hanging="180"/>
      </w:pPr>
    </w:lvl>
  </w:abstractNum>
  <w:abstractNum w:abstractNumId="8" w15:restartNumberingAfterBreak="0">
    <w:nsid w:val="21B8424D"/>
    <w:multiLevelType w:val="hybridMultilevel"/>
    <w:tmpl w:val="AD8C521E"/>
    <w:lvl w:ilvl="0" w:tplc="29502D3A">
      <w:start w:val="1"/>
      <w:numFmt w:val="bullet"/>
      <w:lvlText w:val=""/>
      <w:lvlJc w:val="left"/>
      <w:pPr>
        <w:ind w:left="360" w:hanging="360"/>
      </w:pPr>
      <w:rPr>
        <w:rFonts w:ascii="Symbol" w:hAnsi="Symbol" w:hint="default"/>
      </w:rPr>
    </w:lvl>
    <w:lvl w:ilvl="1" w:tplc="7EF4F974">
      <w:start w:val="1"/>
      <w:numFmt w:val="bullet"/>
      <w:lvlText w:val="o"/>
      <w:lvlJc w:val="left"/>
      <w:pPr>
        <w:ind w:left="1080" w:hanging="360"/>
      </w:pPr>
      <w:rPr>
        <w:rFonts w:ascii="Courier New" w:hAnsi="Courier New" w:cs="Courier New" w:hint="default"/>
      </w:rPr>
    </w:lvl>
    <w:lvl w:ilvl="2" w:tplc="68D63C26">
      <w:start w:val="1"/>
      <w:numFmt w:val="bullet"/>
      <w:lvlText w:val=""/>
      <w:lvlJc w:val="left"/>
      <w:pPr>
        <w:ind w:left="1800" w:hanging="360"/>
      </w:pPr>
      <w:rPr>
        <w:rFonts w:ascii="Wingdings" w:hAnsi="Wingdings" w:hint="default"/>
      </w:rPr>
    </w:lvl>
    <w:lvl w:ilvl="3" w:tplc="FAA2E0E2">
      <w:start w:val="1"/>
      <w:numFmt w:val="bullet"/>
      <w:lvlText w:val=""/>
      <w:lvlJc w:val="left"/>
      <w:pPr>
        <w:ind w:left="2520" w:hanging="360"/>
      </w:pPr>
      <w:rPr>
        <w:rFonts w:ascii="Symbol" w:hAnsi="Symbol" w:hint="default"/>
      </w:rPr>
    </w:lvl>
    <w:lvl w:ilvl="4" w:tplc="E8C22064">
      <w:start w:val="1"/>
      <w:numFmt w:val="bullet"/>
      <w:lvlText w:val="o"/>
      <w:lvlJc w:val="left"/>
      <w:pPr>
        <w:ind w:left="3240" w:hanging="360"/>
      </w:pPr>
      <w:rPr>
        <w:rFonts w:ascii="Courier New" w:hAnsi="Courier New" w:cs="Courier New" w:hint="default"/>
      </w:rPr>
    </w:lvl>
    <w:lvl w:ilvl="5" w:tplc="F914139C">
      <w:start w:val="1"/>
      <w:numFmt w:val="bullet"/>
      <w:lvlText w:val=""/>
      <w:lvlJc w:val="left"/>
      <w:pPr>
        <w:ind w:left="3960" w:hanging="360"/>
      </w:pPr>
      <w:rPr>
        <w:rFonts w:ascii="Wingdings" w:hAnsi="Wingdings" w:hint="default"/>
      </w:rPr>
    </w:lvl>
    <w:lvl w:ilvl="6" w:tplc="CA38405A">
      <w:start w:val="1"/>
      <w:numFmt w:val="bullet"/>
      <w:lvlText w:val=""/>
      <w:lvlJc w:val="left"/>
      <w:pPr>
        <w:ind w:left="4680" w:hanging="360"/>
      </w:pPr>
      <w:rPr>
        <w:rFonts w:ascii="Symbol" w:hAnsi="Symbol" w:hint="default"/>
      </w:rPr>
    </w:lvl>
    <w:lvl w:ilvl="7" w:tplc="50787D7A">
      <w:start w:val="1"/>
      <w:numFmt w:val="bullet"/>
      <w:lvlText w:val="o"/>
      <w:lvlJc w:val="left"/>
      <w:pPr>
        <w:ind w:left="5400" w:hanging="360"/>
      </w:pPr>
      <w:rPr>
        <w:rFonts w:ascii="Courier New" w:hAnsi="Courier New" w:cs="Courier New" w:hint="default"/>
      </w:rPr>
    </w:lvl>
    <w:lvl w:ilvl="8" w:tplc="4DC6F75A">
      <w:start w:val="1"/>
      <w:numFmt w:val="bullet"/>
      <w:lvlText w:val=""/>
      <w:lvlJc w:val="left"/>
      <w:pPr>
        <w:ind w:left="6120" w:hanging="360"/>
      </w:pPr>
      <w:rPr>
        <w:rFonts w:ascii="Wingdings" w:hAnsi="Wingdings" w:hint="default"/>
      </w:rPr>
    </w:lvl>
  </w:abstractNum>
  <w:abstractNum w:abstractNumId="9" w15:restartNumberingAfterBreak="0">
    <w:nsid w:val="2A583C10"/>
    <w:multiLevelType w:val="hybridMultilevel"/>
    <w:tmpl w:val="E3FA7302"/>
    <w:lvl w:ilvl="0" w:tplc="50FADFE4">
      <w:start w:val="1"/>
      <w:numFmt w:val="bullet"/>
      <w:lvlText w:val=""/>
      <w:lvlJc w:val="left"/>
      <w:pPr>
        <w:ind w:left="360" w:hanging="360"/>
      </w:pPr>
      <w:rPr>
        <w:rFonts w:ascii="Symbol" w:hAnsi="Symbol" w:hint="default"/>
      </w:rPr>
    </w:lvl>
    <w:lvl w:ilvl="1" w:tplc="B3AE8AE6" w:tentative="1">
      <w:start w:val="1"/>
      <w:numFmt w:val="bullet"/>
      <w:lvlText w:val="o"/>
      <w:lvlJc w:val="left"/>
      <w:pPr>
        <w:ind w:left="1080" w:hanging="360"/>
      </w:pPr>
      <w:rPr>
        <w:rFonts w:ascii="Courier New" w:hAnsi="Courier New" w:cs="Courier New" w:hint="default"/>
      </w:rPr>
    </w:lvl>
    <w:lvl w:ilvl="2" w:tplc="3FAE6DD2" w:tentative="1">
      <w:start w:val="1"/>
      <w:numFmt w:val="bullet"/>
      <w:lvlText w:val=""/>
      <w:lvlJc w:val="left"/>
      <w:pPr>
        <w:ind w:left="1800" w:hanging="360"/>
      </w:pPr>
      <w:rPr>
        <w:rFonts w:ascii="Wingdings" w:hAnsi="Wingdings" w:hint="default"/>
      </w:rPr>
    </w:lvl>
    <w:lvl w:ilvl="3" w:tplc="7E6C5D84" w:tentative="1">
      <w:start w:val="1"/>
      <w:numFmt w:val="bullet"/>
      <w:lvlText w:val=""/>
      <w:lvlJc w:val="left"/>
      <w:pPr>
        <w:ind w:left="2520" w:hanging="360"/>
      </w:pPr>
      <w:rPr>
        <w:rFonts w:ascii="Symbol" w:hAnsi="Symbol" w:hint="default"/>
      </w:rPr>
    </w:lvl>
    <w:lvl w:ilvl="4" w:tplc="0FC8C11E" w:tentative="1">
      <w:start w:val="1"/>
      <w:numFmt w:val="bullet"/>
      <w:lvlText w:val="o"/>
      <w:lvlJc w:val="left"/>
      <w:pPr>
        <w:ind w:left="3240" w:hanging="360"/>
      </w:pPr>
      <w:rPr>
        <w:rFonts w:ascii="Courier New" w:hAnsi="Courier New" w:cs="Courier New" w:hint="default"/>
      </w:rPr>
    </w:lvl>
    <w:lvl w:ilvl="5" w:tplc="57A24E88" w:tentative="1">
      <w:start w:val="1"/>
      <w:numFmt w:val="bullet"/>
      <w:lvlText w:val=""/>
      <w:lvlJc w:val="left"/>
      <w:pPr>
        <w:ind w:left="3960" w:hanging="360"/>
      </w:pPr>
      <w:rPr>
        <w:rFonts w:ascii="Wingdings" w:hAnsi="Wingdings" w:hint="default"/>
      </w:rPr>
    </w:lvl>
    <w:lvl w:ilvl="6" w:tplc="42AC3B26" w:tentative="1">
      <w:start w:val="1"/>
      <w:numFmt w:val="bullet"/>
      <w:lvlText w:val=""/>
      <w:lvlJc w:val="left"/>
      <w:pPr>
        <w:ind w:left="4680" w:hanging="360"/>
      </w:pPr>
      <w:rPr>
        <w:rFonts w:ascii="Symbol" w:hAnsi="Symbol" w:hint="default"/>
      </w:rPr>
    </w:lvl>
    <w:lvl w:ilvl="7" w:tplc="8682A8C0" w:tentative="1">
      <w:start w:val="1"/>
      <w:numFmt w:val="bullet"/>
      <w:lvlText w:val="o"/>
      <w:lvlJc w:val="left"/>
      <w:pPr>
        <w:ind w:left="5400" w:hanging="360"/>
      </w:pPr>
      <w:rPr>
        <w:rFonts w:ascii="Courier New" w:hAnsi="Courier New" w:cs="Courier New" w:hint="default"/>
      </w:rPr>
    </w:lvl>
    <w:lvl w:ilvl="8" w:tplc="44CE024C" w:tentative="1">
      <w:start w:val="1"/>
      <w:numFmt w:val="bullet"/>
      <w:lvlText w:val=""/>
      <w:lvlJc w:val="left"/>
      <w:pPr>
        <w:ind w:left="6120" w:hanging="360"/>
      </w:pPr>
      <w:rPr>
        <w:rFonts w:ascii="Wingdings" w:hAnsi="Wingdings" w:hint="default"/>
      </w:rPr>
    </w:lvl>
  </w:abstractNum>
  <w:abstractNum w:abstractNumId="10" w15:restartNumberingAfterBreak="0">
    <w:nsid w:val="2BC71BE6"/>
    <w:multiLevelType w:val="hybridMultilevel"/>
    <w:tmpl w:val="1EC006DC"/>
    <w:lvl w:ilvl="0" w:tplc="0B5E5878">
      <w:start w:val="1"/>
      <w:numFmt w:val="bullet"/>
      <w:lvlText w:val=""/>
      <w:lvlJc w:val="left"/>
      <w:pPr>
        <w:ind w:left="720" w:hanging="360"/>
      </w:pPr>
      <w:rPr>
        <w:rFonts w:ascii="Symbol" w:hAnsi="Symbol" w:hint="default"/>
      </w:rPr>
    </w:lvl>
    <w:lvl w:ilvl="1" w:tplc="6C904796" w:tentative="1">
      <w:start w:val="1"/>
      <w:numFmt w:val="bullet"/>
      <w:lvlText w:val="o"/>
      <w:lvlJc w:val="left"/>
      <w:pPr>
        <w:ind w:left="1440" w:hanging="360"/>
      </w:pPr>
      <w:rPr>
        <w:rFonts w:ascii="Courier New" w:hAnsi="Courier New" w:cs="Courier New" w:hint="default"/>
      </w:rPr>
    </w:lvl>
    <w:lvl w:ilvl="2" w:tplc="A9D6087E" w:tentative="1">
      <w:start w:val="1"/>
      <w:numFmt w:val="bullet"/>
      <w:lvlText w:val=""/>
      <w:lvlJc w:val="left"/>
      <w:pPr>
        <w:ind w:left="2160" w:hanging="360"/>
      </w:pPr>
      <w:rPr>
        <w:rFonts w:ascii="Wingdings" w:hAnsi="Wingdings" w:hint="default"/>
      </w:rPr>
    </w:lvl>
    <w:lvl w:ilvl="3" w:tplc="1D664EEE" w:tentative="1">
      <w:start w:val="1"/>
      <w:numFmt w:val="bullet"/>
      <w:lvlText w:val=""/>
      <w:lvlJc w:val="left"/>
      <w:pPr>
        <w:ind w:left="2880" w:hanging="360"/>
      </w:pPr>
      <w:rPr>
        <w:rFonts w:ascii="Symbol" w:hAnsi="Symbol" w:hint="default"/>
      </w:rPr>
    </w:lvl>
    <w:lvl w:ilvl="4" w:tplc="95428CDA" w:tentative="1">
      <w:start w:val="1"/>
      <w:numFmt w:val="bullet"/>
      <w:lvlText w:val="o"/>
      <w:lvlJc w:val="left"/>
      <w:pPr>
        <w:ind w:left="3600" w:hanging="360"/>
      </w:pPr>
      <w:rPr>
        <w:rFonts w:ascii="Courier New" w:hAnsi="Courier New" w:cs="Courier New" w:hint="default"/>
      </w:rPr>
    </w:lvl>
    <w:lvl w:ilvl="5" w:tplc="2F240900" w:tentative="1">
      <w:start w:val="1"/>
      <w:numFmt w:val="bullet"/>
      <w:lvlText w:val=""/>
      <w:lvlJc w:val="left"/>
      <w:pPr>
        <w:ind w:left="4320" w:hanging="360"/>
      </w:pPr>
      <w:rPr>
        <w:rFonts w:ascii="Wingdings" w:hAnsi="Wingdings" w:hint="default"/>
      </w:rPr>
    </w:lvl>
    <w:lvl w:ilvl="6" w:tplc="AA5CF974" w:tentative="1">
      <w:start w:val="1"/>
      <w:numFmt w:val="bullet"/>
      <w:lvlText w:val=""/>
      <w:lvlJc w:val="left"/>
      <w:pPr>
        <w:ind w:left="5040" w:hanging="360"/>
      </w:pPr>
      <w:rPr>
        <w:rFonts w:ascii="Symbol" w:hAnsi="Symbol" w:hint="default"/>
      </w:rPr>
    </w:lvl>
    <w:lvl w:ilvl="7" w:tplc="98043E74" w:tentative="1">
      <w:start w:val="1"/>
      <w:numFmt w:val="bullet"/>
      <w:lvlText w:val="o"/>
      <w:lvlJc w:val="left"/>
      <w:pPr>
        <w:ind w:left="5760" w:hanging="360"/>
      </w:pPr>
      <w:rPr>
        <w:rFonts w:ascii="Courier New" w:hAnsi="Courier New" w:cs="Courier New" w:hint="default"/>
      </w:rPr>
    </w:lvl>
    <w:lvl w:ilvl="8" w:tplc="333613C8" w:tentative="1">
      <w:start w:val="1"/>
      <w:numFmt w:val="bullet"/>
      <w:lvlText w:val=""/>
      <w:lvlJc w:val="left"/>
      <w:pPr>
        <w:ind w:left="6480" w:hanging="360"/>
      </w:pPr>
      <w:rPr>
        <w:rFonts w:ascii="Wingdings" w:hAnsi="Wingdings" w:hint="default"/>
      </w:rPr>
    </w:lvl>
  </w:abstractNum>
  <w:abstractNum w:abstractNumId="11" w15:restartNumberingAfterBreak="0">
    <w:nsid w:val="2BC8447B"/>
    <w:multiLevelType w:val="hybridMultilevel"/>
    <w:tmpl w:val="0992A6DC"/>
    <w:lvl w:ilvl="0" w:tplc="CB5631F4">
      <w:start w:val="3"/>
      <w:numFmt w:val="bullet"/>
      <w:lvlText w:val="-"/>
      <w:lvlJc w:val="left"/>
      <w:pPr>
        <w:ind w:left="720" w:hanging="360"/>
      </w:pPr>
      <w:rPr>
        <w:rFonts w:ascii="Arial" w:eastAsia="Times New Roman" w:hAnsi="Arial" w:cs="Arial" w:hint="default"/>
      </w:rPr>
    </w:lvl>
    <w:lvl w:ilvl="1" w:tplc="D24426F2" w:tentative="1">
      <w:start w:val="1"/>
      <w:numFmt w:val="bullet"/>
      <w:lvlText w:val="o"/>
      <w:lvlJc w:val="left"/>
      <w:pPr>
        <w:ind w:left="1440" w:hanging="360"/>
      </w:pPr>
      <w:rPr>
        <w:rFonts w:ascii="Courier New" w:hAnsi="Courier New" w:cs="Courier New" w:hint="default"/>
      </w:rPr>
    </w:lvl>
    <w:lvl w:ilvl="2" w:tplc="901AA450" w:tentative="1">
      <w:start w:val="1"/>
      <w:numFmt w:val="bullet"/>
      <w:lvlText w:val=""/>
      <w:lvlJc w:val="left"/>
      <w:pPr>
        <w:ind w:left="2160" w:hanging="360"/>
      </w:pPr>
      <w:rPr>
        <w:rFonts w:ascii="Wingdings" w:hAnsi="Wingdings" w:hint="default"/>
      </w:rPr>
    </w:lvl>
    <w:lvl w:ilvl="3" w:tplc="368E6A52" w:tentative="1">
      <w:start w:val="1"/>
      <w:numFmt w:val="bullet"/>
      <w:lvlText w:val=""/>
      <w:lvlJc w:val="left"/>
      <w:pPr>
        <w:ind w:left="2880" w:hanging="360"/>
      </w:pPr>
      <w:rPr>
        <w:rFonts w:ascii="Symbol" w:hAnsi="Symbol" w:hint="default"/>
      </w:rPr>
    </w:lvl>
    <w:lvl w:ilvl="4" w:tplc="60121D22" w:tentative="1">
      <w:start w:val="1"/>
      <w:numFmt w:val="bullet"/>
      <w:lvlText w:val="o"/>
      <w:lvlJc w:val="left"/>
      <w:pPr>
        <w:ind w:left="3600" w:hanging="360"/>
      </w:pPr>
      <w:rPr>
        <w:rFonts w:ascii="Courier New" w:hAnsi="Courier New" w:cs="Courier New" w:hint="default"/>
      </w:rPr>
    </w:lvl>
    <w:lvl w:ilvl="5" w:tplc="E7D6879A" w:tentative="1">
      <w:start w:val="1"/>
      <w:numFmt w:val="bullet"/>
      <w:lvlText w:val=""/>
      <w:lvlJc w:val="left"/>
      <w:pPr>
        <w:ind w:left="4320" w:hanging="360"/>
      </w:pPr>
      <w:rPr>
        <w:rFonts w:ascii="Wingdings" w:hAnsi="Wingdings" w:hint="default"/>
      </w:rPr>
    </w:lvl>
    <w:lvl w:ilvl="6" w:tplc="C1E61E60" w:tentative="1">
      <w:start w:val="1"/>
      <w:numFmt w:val="bullet"/>
      <w:lvlText w:val=""/>
      <w:lvlJc w:val="left"/>
      <w:pPr>
        <w:ind w:left="5040" w:hanging="360"/>
      </w:pPr>
      <w:rPr>
        <w:rFonts w:ascii="Symbol" w:hAnsi="Symbol" w:hint="default"/>
      </w:rPr>
    </w:lvl>
    <w:lvl w:ilvl="7" w:tplc="8D4E6474" w:tentative="1">
      <w:start w:val="1"/>
      <w:numFmt w:val="bullet"/>
      <w:lvlText w:val="o"/>
      <w:lvlJc w:val="left"/>
      <w:pPr>
        <w:ind w:left="5760" w:hanging="360"/>
      </w:pPr>
      <w:rPr>
        <w:rFonts w:ascii="Courier New" w:hAnsi="Courier New" w:cs="Courier New" w:hint="default"/>
      </w:rPr>
    </w:lvl>
    <w:lvl w:ilvl="8" w:tplc="3F783524" w:tentative="1">
      <w:start w:val="1"/>
      <w:numFmt w:val="bullet"/>
      <w:lvlText w:val=""/>
      <w:lvlJc w:val="left"/>
      <w:pPr>
        <w:ind w:left="6480" w:hanging="360"/>
      </w:pPr>
      <w:rPr>
        <w:rFonts w:ascii="Wingdings" w:hAnsi="Wingdings" w:hint="default"/>
      </w:rPr>
    </w:lvl>
  </w:abstractNum>
  <w:abstractNum w:abstractNumId="12" w15:restartNumberingAfterBreak="0">
    <w:nsid w:val="2BF216B7"/>
    <w:multiLevelType w:val="hybridMultilevel"/>
    <w:tmpl w:val="1BB2DE6E"/>
    <w:lvl w:ilvl="0" w:tplc="947249E0">
      <w:start w:val="1"/>
      <w:numFmt w:val="bullet"/>
      <w:lvlText w:val=""/>
      <w:lvlJc w:val="left"/>
      <w:pPr>
        <w:ind w:left="720" w:hanging="360"/>
      </w:pPr>
      <w:rPr>
        <w:rFonts w:ascii="Symbol" w:hAnsi="Symbol" w:hint="default"/>
      </w:rPr>
    </w:lvl>
    <w:lvl w:ilvl="1" w:tplc="A772308C" w:tentative="1">
      <w:start w:val="1"/>
      <w:numFmt w:val="bullet"/>
      <w:lvlText w:val="o"/>
      <w:lvlJc w:val="left"/>
      <w:pPr>
        <w:ind w:left="1440" w:hanging="360"/>
      </w:pPr>
      <w:rPr>
        <w:rFonts w:ascii="Courier New" w:hAnsi="Courier New" w:cs="Courier New" w:hint="default"/>
      </w:rPr>
    </w:lvl>
    <w:lvl w:ilvl="2" w:tplc="B9580DD8" w:tentative="1">
      <w:start w:val="1"/>
      <w:numFmt w:val="bullet"/>
      <w:lvlText w:val=""/>
      <w:lvlJc w:val="left"/>
      <w:pPr>
        <w:ind w:left="2160" w:hanging="360"/>
      </w:pPr>
      <w:rPr>
        <w:rFonts w:ascii="Wingdings" w:hAnsi="Wingdings" w:hint="default"/>
      </w:rPr>
    </w:lvl>
    <w:lvl w:ilvl="3" w:tplc="700E54B6" w:tentative="1">
      <w:start w:val="1"/>
      <w:numFmt w:val="bullet"/>
      <w:lvlText w:val=""/>
      <w:lvlJc w:val="left"/>
      <w:pPr>
        <w:ind w:left="2880" w:hanging="360"/>
      </w:pPr>
      <w:rPr>
        <w:rFonts w:ascii="Symbol" w:hAnsi="Symbol" w:hint="default"/>
      </w:rPr>
    </w:lvl>
    <w:lvl w:ilvl="4" w:tplc="581A5028" w:tentative="1">
      <w:start w:val="1"/>
      <w:numFmt w:val="bullet"/>
      <w:lvlText w:val="o"/>
      <w:lvlJc w:val="left"/>
      <w:pPr>
        <w:ind w:left="3600" w:hanging="360"/>
      </w:pPr>
      <w:rPr>
        <w:rFonts w:ascii="Courier New" w:hAnsi="Courier New" w:cs="Courier New" w:hint="default"/>
      </w:rPr>
    </w:lvl>
    <w:lvl w:ilvl="5" w:tplc="A6ACBE7A" w:tentative="1">
      <w:start w:val="1"/>
      <w:numFmt w:val="bullet"/>
      <w:lvlText w:val=""/>
      <w:lvlJc w:val="left"/>
      <w:pPr>
        <w:ind w:left="4320" w:hanging="360"/>
      </w:pPr>
      <w:rPr>
        <w:rFonts w:ascii="Wingdings" w:hAnsi="Wingdings" w:hint="default"/>
      </w:rPr>
    </w:lvl>
    <w:lvl w:ilvl="6" w:tplc="D068D7B2" w:tentative="1">
      <w:start w:val="1"/>
      <w:numFmt w:val="bullet"/>
      <w:lvlText w:val=""/>
      <w:lvlJc w:val="left"/>
      <w:pPr>
        <w:ind w:left="5040" w:hanging="360"/>
      </w:pPr>
      <w:rPr>
        <w:rFonts w:ascii="Symbol" w:hAnsi="Symbol" w:hint="default"/>
      </w:rPr>
    </w:lvl>
    <w:lvl w:ilvl="7" w:tplc="4E1879BE" w:tentative="1">
      <w:start w:val="1"/>
      <w:numFmt w:val="bullet"/>
      <w:lvlText w:val="o"/>
      <w:lvlJc w:val="left"/>
      <w:pPr>
        <w:ind w:left="5760" w:hanging="360"/>
      </w:pPr>
      <w:rPr>
        <w:rFonts w:ascii="Courier New" w:hAnsi="Courier New" w:cs="Courier New" w:hint="default"/>
      </w:rPr>
    </w:lvl>
    <w:lvl w:ilvl="8" w:tplc="F248733C" w:tentative="1">
      <w:start w:val="1"/>
      <w:numFmt w:val="bullet"/>
      <w:lvlText w:val=""/>
      <w:lvlJc w:val="left"/>
      <w:pPr>
        <w:ind w:left="6480" w:hanging="360"/>
      </w:pPr>
      <w:rPr>
        <w:rFonts w:ascii="Wingdings" w:hAnsi="Wingdings" w:hint="default"/>
      </w:rPr>
    </w:lvl>
  </w:abstractNum>
  <w:abstractNum w:abstractNumId="13" w15:restartNumberingAfterBreak="0">
    <w:nsid w:val="34834AE8"/>
    <w:multiLevelType w:val="hybridMultilevel"/>
    <w:tmpl w:val="BA0E3560"/>
    <w:lvl w:ilvl="0" w:tplc="3092B244">
      <w:start w:val="1"/>
      <w:numFmt w:val="lowerLetter"/>
      <w:lvlText w:val="%1."/>
      <w:lvlJc w:val="left"/>
      <w:pPr>
        <w:ind w:left="720" w:hanging="360"/>
      </w:pPr>
    </w:lvl>
    <w:lvl w:ilvl="1" w:tplc="66D806EE" w:tentative="1">
      <w:start w:val="1"/>
      <w:numFmt w:val="lowerLetter"/>
      <w:lvlText w:val="%2."/>
      <w:lvlJc w:val="left"/>
      <w:pPr>
        <w:ind w:left="1440" w:hanging="360"/>
      </w:pPr>
    </w:lvl>
    <w:lvl w:ilvl="2" w:tplc="1F58F3D2" w:tentative="1">
      <w:start w:val="1"/>
      <w:numFmt w:val="lowerRoman"/>
      <w:lvlText w:val="%3."/>
      <w:lvlJc w:val="right"/>
      <w:pPr>
        <w:ind w:left="2160" w:hanging="180"/>
      </w:pPr>
    </w:lvl>
    <w:lvl w:ilvl="3" w:tplc="67F24BA2" w:tentative="1">
      <w:start w:val="1"/>
      <w:numFmt w:val="decimal"/>
      <w:lvlText w:val="%4."/>
      <w:lvlJc w:val="left"/>
      <w:pPr>
        <w:ind w:left="2880" w:hanging="360"/>
      </w:pPr>
    </w:lvl>
    <w:lvl w:ilvl="4" w:tplc="F83243E0" w:tentative="1">
      <w:start w:val="1"/>
      <w:numFmt w:val="lowerLetter"/>
      <w:lvlText w:val="%5."/>
      <w:lvlJc w:val="left"/>
      <w:pPr>
        <w:ind w:left="3600" w:hanging="360"/>
      </w:pPr>
    </w:lvl>
    <w:lvl w:ilvl="5" w:tplc="50228568" w:tentative="1">
      <w:start w:val="1"/>
      <w:numFmt w:val="lowerRoman"/>
      <w:lvlText w:val="%6."/>
      <w:lvlJc w:val="right"/>
      <w:pPr>
        <w:ind w:left="4320" w:hanging="180"/>
      </w:pPr>
    </w:lvl>
    <w:lvl w:ilvl="6" w:tplc="5B0C39DE" w:tentative="1">
      <w:start w:val="1"/>
      <w:numFmt w:val="decimal"/>
      <w:lvlText w:val="%7."/>
      <w:lvlJc w:val="left"/>
      <w:pPr>
        <w:ind w:left="5040" w:hanging="360"/>
      </w:pPr>
    </w:lvl>
    <w:lvl w:ilvl="7" w:tplc="8C82B7C8" w:tentative="1">
      <w:start w:val="1"/>
      <w:numFmt w:val="lowerLetter"/>
      <w:lvlText w:val="%8."/>
      <w:lvlJc w:val="left"/>
      <w:pPr>
        <w:ind w:left="5760" w:hanging="360"/>
      </w:pPr>
    </w:lvl>
    <w:lvl w:ilvl="8" w:tplc="EFFAFAA2" w:tentative="1">
      <w:start w:val="1"/>
      <w:numFmt w:val="lowerRoman"/>
      <w:lvlText w:val="%9."/>
      <w:lvlJc w:val="right"/>
      <w:pPr>
        <w:ind w:left="6480" w:hanging="180"/>
      </w:pPr>
    </w:lvl>
  </w:abstractNum>
  <w:abstractNum w:abstractNumId="14" w15:restartNumberingAfterBreak="0">
    <w:nsid w:val="36593A57"/>
    <w:multiLevelType w:val="hybridMultilevel"/>
    <w:tmpl w:val="9A02C834"/>
    <w:lvl w:ilvl="0" w:tplc="F7D66716">
      <w:start w:val="1"/>
      <w:numFmt w:val="bullet"/>
      <w:lvlText w:val=""/>
      <w:lvlJc w:val="left"/>
      <w:pPr>
        <w:ind w:left="720" w:hanging="360"/>
      </w:pPr>
      <w:rPr>
        <w:rFonts w:ascii="Symbol" w:hAnsi="Symbol" w:hint="default"/>
      </w:rPr>
    </w:lvl>
    <w:lvl w:ilvl="1" w:tplc="12F21866" w:tentative="1">
      <w:start w:val="1"/>
      <w:numFmt w:val="bullet"/>
      <w:lvlText w:val="o"/>
      <w:lvlJc w:val="left"/>
      <w:pPr>
        <w:ind w:left="1440" w:hanging="360"/>
      </w:pPr>
      <w:rPr>
        <w:rFonts w:ascii="Courier New" w:hAnsi="Courier New" w:cs="Courier New" w:hint="default"/>
      </w:rPr>
    </w:lvl>
    <w:lvl w:ilvl="2" w:tplc="8092CDF4" w:tentative="1">
      <w:start w:val="1"/>
      <w:numFmt w:val="bullet"/>
      <w:lvlText w:val=""/>
      <w:lvlJc w:val="left"/>
      <w:pPr>
        <w:ind w:left="2160" w:hanging="360"/>
      </w:pPr>
      <w:rPr>
        <w:rFonts w:ascii="Wingdings" w:hAnsi="Wingdings" w:hint="default"/>
      </w:rPr>
    </w:lvl>
    <w:lvl w:ilvl="3" w:tplc="9BEEA8D6" w:tentative="1">
      <w:start w:val="1"/>
      <w:numFmt w:val="bullet"/>
      <w:lvlText w:val=""/>
      <w:lvlJc w:val="left"/>
      <w:pPr>
        <w:ind w:left="2880" w:hanging="360"/>
      </w:pPr>
      <w:rPr>
        <w:rFonts w:ascii="Symbol" w:hAnsi="Symbol" w:hint="default"/>
      </w:rPr>
    </w:lvl>
    <w:lvl w:ilvl="4" w:tplc="941EB86A" w:tentative="1">
      <w:start w:val="1"/>
      <w:numFmt w:val="bullet"/>
      <w:lvlText w:val="o"/>
      <w:lvlJc w:val="left"/>
      <w:pPr>
        <w:ind w:left="3600" w:hanging="360"/>
      </w:pPr>
      <w:rPr>
        <w:rFonts w:ascii="Courier New" w:hAnsi="Courier New" w:cs="Courier New" w:hint="default"/>
      </w:rPr>
    </w:lvl>
    <w:lvl w:ilvl="5" w:tplc="4DAE7B18" w:tentative="1">
      <w:start w:val="1"/>
      <w:numFmt w:val="bullet"/>
      <w:lvlText w:val=""/>
      <w:lvlJc w:val="left"/>
      <w:pPr>
        <w:ind w:left="4320" w:hanging="360"/>
      </w:pPr>
      <w:rPr>
        <w:rFonts w:ascii="Wingdings" w:hAnsi="Wingdings" w:hint="default"/>
      </w:rPr>
    </w:lvl>
    <w:lvl w:ilvl="6" w:tplc="BB70660E" w:tentative="1">
      <w:start w:val="1"/>
      <w:numFmt w:val="bullet"/>
      <w:lvlText w:val=""/>
      <w:lvlJc w:val="left"/>
      <w:pPr>
        <w:ind w:left="5040" w:hanging="360"/>
      </w:pPr>
      <w:rPr>
        <w:rFonts w:ascii="Symbol" w:hAnsi="Symbol" w:hint="default"/>
      </w:rPr>
    </w:lvl>
    <w:lvl w:ilvl="7" w:tplc="A88A64BE" w:tentative="1">
      <w:start w:val="1"/>
      <w:numFmt w:val="bullet"/>
      <w:lvlText w:val="o"/>
      <w:lvlJc w:val="left"/>
      <w:pPr>
        <w:ind w:left="5760" w:hanging="360"/>
      </w:pPr>
      <w:rPr>
        <w:rFonts w:ascii="Courier New" w:hAnsi="Courier New" w:cs="Courier New" w:hint="default"/>
      </w:rPr>
    </w:lvl>
    <w:lvl w:ilvl="8" w:tplc="23E4533A" w:tentative="1">
      <w:start w:val="1"/>
      <w:numFmt w:val="bullet"/>
      <w:lvlText w:val=""/>
      <w:lvlJc w:val="left"/>
      <w:pPr>
        <w:ind w:left="6480" w:hanging="360"/>
      </w:pPr>
      <w:rPr>
        <w:rFonts w:ascii="Wingdings" w:hAnsi="Wingdings" w:hint="default"/>
      </w:rPr>
    </w:lvl>
  </w:abstractNum>
  <w:abstractNum w:abstractNumId="15" w15:restartNumberingAfterBreak="0">
    <w:nsid w:val="3DB460F8"/>
    <w:multiLevelType w:val="multilevel"/>
    <w:tmpl w:val="D234C816"/>
    <w:lvl w:ilvl="0">
      <w:start w:val="1"/>
      <w:numFmt w:val="decimal"/>
      <w:lvlText w:val=" %1"/>
      <w:lvlJc w:val="left"/>
      <w:pPr>
        <w:tabs>
          <w:tab w:val="num" w:pos="720"/>
        </w:tabs>
        <w:ind w:left="720" w:hanging="720"/>
      </w:pPr>
      <w:rPr>
        <w:rFonts w:hint="default"/>
        <w:b w:val="0"/>
        <w:i w:val="0"/>
      </w:rPr>
    </w:lvl>
    <w:lvl w:ilvl="1">
      <w:start w:val="1"/>
      <w:numFmt w:val="decimal"/>
      <w:pStyle w:val="OutlineNum2"/>
      <w:lvlText w:val="%1.%2"/>
      <w:lvlJc w:val="left"/>
      <w:pPr>
        <w:tabs>
          <w:tab w:val="num" w:pos="720"/>
        </w:tabs>
        <w:ind w:left="720" w:hanging="720"/>
      </w:pPr>
      <w:rPr>
        <w:rFonts w:ascii="Arial" w:hAnsi="Arial" w:hint="default"/>
        <w:b w:val="0"/>
        <w:i w:val="0"/>
        <w:sz w:val="22"/>
        <w:szCs w:val="22"/>
      </w:rPr>
    </w:lvl>
    <w:lvl w:ilvl="2">
      <w:start w:val="1"/>
      <w:numFmt w:val="decimal"/>
      <w:pStyle w:val="OutlineNum3"/>
      <w:lvlText w:val="%1.%2.%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DF4EF2"/>
    <w:multiLevelType w:val="hybridMultilevel"/>
    <w:tmpl w:val="645820CE"/>
    <w:lvl w:ilvl="0" w:tplc="388EF478">
      <w:start w:val="1"/>
      <w:numFmt w:val="bullet"/>
      <w:pStyle w:val="TOC4"/>
      <w:lvlText w:val="›"/>
      <w:lvlJc w:val="left"/>
      <w:pPr>
        <w:ind w:left="1224" w:hanging="144"/>
      </w:pPr>
      <w:rPr>
        <w:rFonts w:ascii="Arial" w:hAnsi="Arial" w:hint="default"/>
        <w:color w:val="7C848A"/>
      </w:rPr>
    </w:lvl>
    <w:lvl w:ilvl="1" w:tplc="4B988272" w:tentative="1">
      <w:start w:val="1"/>
      <w:numFmt w:val="bullet"/>
      <w:lvlText w:val="o"/>
      <w:lvlJc w:val="left"/>
      <w:pPr>
        <w:ind w:left="2304" w:hanging="360"/>
      </w:pPr>
      <w:rPr>
        <w:rFonts w:ascii="Courier New" w:hAnsi="Courier New" w:cs="Courier New" w:hint="default"/>
      </w:rPr>
    </w:lvl>
    <w:lvl w:ilvl="2" w:tplc="AEF6A16C" w:tentative="1">
      <w:start w:val="1"/>
      <w:numFmt w:val="bullet"/>
      <w:lvlText w:val=""/>
      <w:lvlJc w:val="left"/>
      <w:pPr>
        <w:ind w:left="3024" w:hanging="360"/>
      </w:pPr>
      <w:rPr>
        <w:rFonts w:ascii="Wingdings" w:hAnsi="Wingdings" w:hint="default"/>
      </w:rPr>
    </w:lvl>
    <w:lvl w:ilvl="3" w:tplc="23DC15A0" w:tentative="1">
      <w:start w:val="1"/>
      <w:numFmt w:val="bullet"/>
      <w:lvlText w:val=""/>
      <w:lvlJc w:val="left"/>
      <w:pPr>
        <w:ind w:left="3744" w:hanging="360"/>
      </w:pPr>
      <w:rPr>
        <w:rFonts w:ascii="Symbol" w:hAnsi="Symbol" w:hint="default"/>
      </w:rPr>
    </w:lvl>
    <w:lvl w:ilvl="4" w:tplc="1BC6FF32" w:tentative="1">
      <w:start w:val="1"/>
      <w:numFmt w:val="bullet"/>
      <w:lvlText w:val="o"/>
      <w:lvlJc w:val="left"/>
      <w:pPr>
        <w:ind w:left="4464" w:hanging="360"/>
      </w:pPr>
      <w:rPr>
        <w:rFonts w:ascii="Courier New" w:hAnsi="Courier New" w:cs="Courier New" w:hint="default"/>
      </w:rPr>
    </w:lvl>
    <w:lvl w:ilvl="5" w:tplc="CCCC61B2" w:tentative="1">
      <w:start w:val="1"/>
      <w:numFmt w:val="bullet"/>
      <w:lvlText w:val=""/>
      <w:lvlJc w:val="left"/>
      <w:pPr>
        <w:ind w:left="5184" w:hanging="360"/>
      </w:pPr>
      <w:rPr>
        <w:rFonts w:ascii="Wingdings" w:hAnsi="Wingdings" w:hint="default"/>
      </w:rPr>
    </w:lvl>
    <w:lvl w:ilvl="6" w:tplc="5C7A4EF0" w:tentative="1">
      <w:start w:val="1"/>
      <w:numFmt w:val="bullet"/>
      <w:lvlText w:val=""/>
      <w:lvlJc w:val="left"/>
      <w:pPr>
        <w:ind w:left="5904" w:hanging="360"/>
      </w:pPr>
      <w:rPr>
        <w:rFonts w:ascii="Symbol" w:hAnsi="Symbol" w:hint="default"/>
      </w:rPr>
    </w:lvl>
    <w:lvl w:ilvl="7" w:tplc="E47C13CE" w:tentative="1">
      <w:start w:val="1"/>
      <w:numFmt w:val="bullet"/>
      <w:lvlText w:val="o"/>
      <w:lvlJc w:val="left"/>
      <w:pPr>
        <w:ind w:left="6624" w:hanging="360"/>
      </w:pPr>
      <w:rPr>
        <w:rFonts w:ascii="Courier New" w:hAnsi="Courier New" w:cs="Courier New" w:hint="default"/>
      </w:rPr>
    </w:lvl>
    <w:lvl w:ilvl="8" w:tplc="0F929288" w:tentative="1">
      <w:start w:val="1"/>
      <w:numFmt w:val="bullet"/>
      <w:lvlText w:val=""/>
      <w:lvlJc w:val="left"/>
      <w:pPr>
        <w:ind w:left="7344" w:hanging="360"/>
      </w:pPr>
      <w:rPr>
        <w:rFonts w:ascii="Wingdings" w:hAnsi="Wingdings" w:hint="default"/>
      </w:rPr>
    </w:lvl>
  </w:abstractNum>
  <w:abstractNum w:abstractNumId="17" w15:restartNumberingAfterBreak="0">
    <w:nsid w:val="46380568"/>
    <w:multiLevelType w:val="hybridMultilevel"/>
    <w:tmpl w:val="285E26CC"/>
    <w:lvl w:ilvl="0" w:tplc="6E7AB8D0">
      <w:start w:val="1"/>
      <w:numFmt w:val="bullet"/>
      <w:lvlText w:val=""/>
      <w:lvlJc w:val="left"/>
      <w:pPr>
        <w:tabs>
          <w:tab w:val="num" w:pos="720"/>
        </w:tabs>
        <w:ind w:left="720" w:hanging="360"/>
      </w:pPr>
      <w:rPr>
        <w:rFonts w:ascii="Symbol" w:hAnsi="Symbol" w:hint="default"/>
      </w:rPr>
    </w:lvl>
    <w:lvl w:ilvl="1" w:tplc="7EB2EB40" w:tentative="1">
      <w:start w:val="1"/>
      <w:numFmt w:val="bullet"/>
      <w:lvlText w:val="o"/>
      <w:lvlJc w:val="left"/>
      <w:pPr>
        <w:tabs>
          <w:tab w:val="num" w:pos="1440"/>
        </w:tabs>
        <w:ind w:left="1440" w:hanging="360"/>
      </w:pPr>
      <w:rPr>
        <w:rFonts w:ascii="Courier New" w:hAnsi="Courier New" w:cs="Courier New" w:hint="default"/>
      </w:rPr>
    </w:lvl>
    <w:lvl w:ilvl="2" w:tplc="93BAE1B6" w:tentative="1">
      <w:start w:val="1"/>
      <w:numFmt w:val="bullet"/>
      <w:lvlText w:val=""/>
      <w:lvlJc w:val="left"/>
      <w:pPr>
        <w:tabs>
          <w:tab w:val="num" w:pos="2160"/>
        </w:tabs>
        <w:ind w:left="2160" w:hanging="360"/>
      </w:pPr>
      <w:rPr>
        <w:rFonts w:ascii="Wingdings" w:hAnsi="Wingdings" w:hint="default"/>
      </w:rPr>
    </w:lvl>
    <w:lvl w:ilvl="3" w:tplc="C6BEF3F0" w:tentative="1">
      <w:start w:val="1"/>
      <w:numFmt w:val="bullet"/>
      <w:lvlText w:val=""/>
      <w:lvlJc w:val="left"/>
      <w:pPr>
        <w:tabs>
          <w:tab w:val="num" w:pos="2880"/>
        </w:tabs>
        <w:ind w:left="2880" w:hanging="360"/>
      </w:pPr>
      <w:rPr>
        <w:rFonts w:ascii="Symbol" w:hAnsi="Symbol" w:hint="default"/>
      </w:rPr>
    </w:lvl>
    <w:lvl w:ilvl="4" w:tplc="048A86DE" w:tentative="1">
      <w:start w:val="1"/>
      <w:numFmt w:val="bullet"/>
      <w:lvlText w:val="o"/>
      <w:lvlJc w:val="left"/>
      <w:pPr>
        <w:tabs>
          <w:tab w:val="num" w:pos="3600"/>
        </w:tabs>
        <w:ind w:left="3600" w:hanging="360"/>
      </w:pPr>
      <w:rPr>
        <w:rFonts w:ascii="Courier New" w:hAnsi="Courier New" w:cs="Courier New" w:hint="default"/>
      </w:rPr>
    </w:lvl>
    <w:lvl w:ilvl="5" w:tplc="6EB45176" w:tentative="1">
      <w:start w:val="1"/>
      <w:numFmt w:val="bullet"/>
      <w:lvlText w:val=""/>
      <w:lvlJc w:val="left"/>
      <w:pPr>
        <w:tabs>
          <w:tab w:val="num" w:pos="4320"/>
        </w:tabs>
        <w:ind w:left="4320" w:hanging="360"/>
      </w:pPr>
      <w:rPr>
        <w:rFonts w:ascii="Wingdings" w:hAnsi="Wingdings" w:hint="default"/>
      </w:rPr>
    </w:lvl>
    <w:lvl w:ilvl="6" w:tplc="8D8A5678" w:tentative="1">
      <w:start w:val="1"/>
      <w:numFmt w:val="bullet"/>
      <w:lvlText w:val=""/>
      <w:lvlJc w:val="left"/>
      <w:pPr>
        <w:tabs>
          <w:tab w:val="num" w:pos="5040"/>
        </w:tabs>
        <w:ind w:left="5040" w:hanging="360"/>
      </w:pPr>
      <w:rPr>
        <w:rFonts w:ascii="Symbol" w:hAnsi="Symbol" w:hint="default"/>
      </w:rPr>
    </w:lvl>
    <w:lvl w:ilvl="7" w:tplc="C4EC2246" w:tentative="1">
      <w:start w:val="1"/>
      <w:numFmt w:val="bullet"/>
      <w:lvlText w:val="o"/>
      <w:lvlJc w:val="left"/>
      <w:pPr>
        <w:tabs>
          <w:tab w:val="num" w:pos="5760"/>
        </w:tabs>
        <w:ind w:left="5760" w:hanging="360"/>
      </w:pPr>
      <w:rPr>
        <w:rFonts w:ascii="Courier New" w:hAnsi="Courier New" w:cs="Courier New" w:hint="default"/>
      </w:rPr>
    </w:lvl>
    <w:lvl w:ilvl="8" w:tplc="561012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46BFB"/>
    <w:multiLevelType w:val="hybridMultilevel"/>
    <w:tmpl w:val="AC3CFE6A"/>
    <w:lvl w:ilvl="0" w:tplc="61708B02">
      <w:start w:val="1"/>
      <w:numFmt w:val="bullet"/>
      <w:pStyle w:val="Bullet1"/>
      <w:lvlText w:val=""/>
      <w:lvlJc w:val="left"/>
      <w:pPr>
        <w:ind w:left="288" w:hanging="288"/>
      </w:pPr>
      <w:rPr>
        <w:rFonts w:ascii="Symbol" w:hAnsi="Symbol" w:hint="default"/>
        <w:b/>
        <w:i w:val="0"/>
        <w:color w:val="7C848A"/>
      </w:rPr>
    </w:lvl>
    <w:lvl w:ilvl="1" w:tplc="3BB8789E" w:tentative="1">
      <w:start w:val="1"/>
      <w:numFmt w:val="bullet"/>
      <w:pStyle w:val="Para-1stLevel"/>
      <w:lvlText w:val="o"/>
      <w:lvlJc w:val="left"/>
      <w:pPr>
        <w:tabs>
          <w:tab w:val="num" w:pos="1440"/>
        </w:tabs>
        <w:ind w:left="1440" w:hanging="360"/>
      </w:pPr>
      <w:rPr>
        <w:rFonts w:ascii="Courier New" w:hAnsi="Courier New" w:cs="Courier New" w:hint="default"/>
      </w:rPr>
    </w:lvl>
    <w:lvl w:ilvl="2" w:tplc="B78AC6A4" w:tentative="1">
      <w:start w:val="1"/>
      <w:numFmt w:val="bullet"/>
      <w:lvlText w:val=""/>
      <w:lvlJc w:val="left"/>
      <w:pPr>
        <w:tabs>
          <w:tab w:val="num" w:pos="2160"/>
        </w:tabs>
        <w:ind w:left="2160" w:hanging="360"/>
      </w:pPr>
      <w:rPr>
        <w:rFonts w:ascii="Wingdings" w:hAnsi="Wingdings" w:hint="default"/>
      </w:rPr>
    </w:lvl>
    <w:lvl w:ilvl="3" w:tplc="055E2DD6" w:tentative="1">
      <w:start w:val="1"/>
      <w:numFmt w:val="bullet"/>
      <w:lvlText w:val=""/>
      <w:lvlJc w:val="left"/>
      <w:pPr>
        <w:tabs>
          <w:tab w:val="num" w:pos="2880"/>
        </w:tabs>
        <w:ind w:left="2880" w:hanging="360"/>
      </w:pPr>
      <w:rPr>
        <w:rFonts w:ascii="Symbol" w:hAnsi="Symbol" w:hint="default"/>
      </w:rPr>
    </w:lvl>
    <w:lvl w:ilvl="4" w:tplc="D5F24E7C">
      <w:start w:val="1"/>
      <w:numFmt w:val="bullet"/>
      <w:lvlText w:val="o"/>
      <w:lvlJc w:val="left"/>
      <w:pPr>
        <w:tabs>
          <w:tab w:val="num" w:pos="3600"/>
        </w:tabs>
        <w:ind w:left="3600" w:hanging="360"/>
      </w:pPr>
      <w:rPr>
        <w:rFonts w:ascii="Courier New" w:hAnsi="Courier New" w:cs="Courier New" w:hint="default"/>
      </w:rPr>
    </w:lvl>
    <w:lvl w:ilvl="5" w:tplc="6F02414A" w:tentative="1">
      <w:start w:val="1"/>
      <w:numFmt w:val="bullet"/>
      <w:lvlText w:val=""/>
      <w:lvlJc w:val="left"/>
      <w:pPr>
        <w:tabs>
          <w:tab w:val="num" w:pos="4320"/>
        </w:tabs>
        <w:ind w:left="4320" w:hanging="360"/>
      </w:pPr>
      <w:rPr>
        <w:rFonts w:ascii="Wingdings" w:hAnsi="Wingdings" w:hint="default"/>
      </w:rPr>
    </w:lvl>
    <w:lvl w:ilvl="6" w:tplc="44361FD6" w:tentative="1">
      <w:start w:val="1"/>
      <w:numFmt w:val="bullet"/>
      <w:lvlText w:val=""/>
      <w:lvlJc w:val="left"/>
      <w:pPr>
        <w:tabs>
          <w:tab w:val="num" w:pos="5040"/>
        </w:tabs>
        <w:ind w:left="5040" w:hanging="360"/>
      </w:pPr>
      <w:rPr>
        <w:rFonts w:ascii="Symbol" w:hAnsi="Symbol" w:hint="default"/>
      </w:rPr>
    </w:lvl>
    <w:lvl w:ilvl="7" w:tplc="AAB67C48" w:tentative="1">
      <w:start w:val="1"/>
      <w:numFmt w:val="bullet"/>
      <w:lvlText w:val="o"/>
      <w:lvlJc w:val="left"/>
      <w:pPr>
        <w:tabs>
          <w:tab w:val="num" w:pos="5760"/>
        </w:tabs>
        <w:ind w:left="5760" w:hanging="360"/>
      </w:pPr>
      <w:rPr>
        <w:rFonts w:ascii="Courier New" w:hAnsi="Courier New" w:cs="Courier New" w:hint="default"/>
      </w:rPr>
    </w:lvl>
    <w:lvl w:ilvl="8" w:tplc="3CBA0EF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A4B5B"/>
    <w:multiLevelType w:val="hybridMultilevel"/>
    <w:tmpl w:val="D1623C42"/>
    <w:lvl w:ilvl="0" w:tplc="7160EC26">
      <w:start w:val="1"/>
      <w:numFmt w:val="lowerRoman"/>
      <w:pStyle w:val="Numbered3"/>
      <w:lvlText w:val="%1."/>
      <w:lvlJc w:val="right"/>
      <w:pPr>
        <w:ind w:left="1066" w:hanging="360"/>
      </w:pPr>
      <w:rPr>
        <w:rFonts w:ascii="Arial" w:hAnsi="Arial" w:hint="default"/>
        <w:b w:val="0"/>
        <w:i w:val="0"/>
        <w:color w:val="7C848A"/>
        <w:sz w:val="22"/>
      </w:rPr>
    </w:lvl>
    <w:lvl w:ilvl="1" w:tplc="F8D0E7F6" w:tentative="1">
      <w:start w:val="1"/>
      <w:numFmt w:val="lowerLetter"/>
      <w:lvlText w:val="%2."/>
      <w:lvlJc w:val="left"/>
      <w:pPr>
        <w:ind w:left="2146" w:hanging="360"/>
      </w:pPr>
    </w:lvl>
    <w:lvl w:ilvl="2" w:tplc="85DA8F8E" w:tentative="1">
      <w:start w:val="1"/>
      <w:numFmt w:val="lowerRoman"/>
      <w:lvlText w:val="%3."/>
      <w:lvlJc w:val="right"/>
      <w:pPr>
        <w:ind w:left="2866" w:hanging="180"/>
      </w:pPr>
    </w:lvl>
    <w:lvl w:ilvl="3" w:tplc="E32C980A" w:tentative="1">
      <w:start w:val="1"/>
      <w:numFmt w:val="decimal"/>
      <w:lvlText w:val="%4."/>
      <w:lvlJc w:val="left"/>
      <w:pPr>
        <w:ind w:left="3586" w:hanging="360"/>
      </w:pPr>
    </w:lvl>
    <w:lvl w:ilvl="4" w:tplc="31BC5314" w:tentative="1">
      <w:start w:val="1"/>
      <w:numFmt w:val="lowerLetter"/>
      <w:lvlText w:val="%5."/>
      <w:lvlJc w:val="left"/>
      <w:pPr>
        <w:ind w:left="4306" w:hanging="360"/>
      </w:pPr>
    </w:lvl>
    <w:lvl w:ilvl="5" w:tplc="BC06B256" w:tentative="1">
      <w:start w:val="1"/>
      <w:numFmt w:val="lowerRoman"/>
      <w:lvlText w:val="%6."/>
      <w:lvlJc w:val="right"/>
      <w:pPr>
        <w:ind w:left="5026" w:hanging="180"/>
      </w:pPr>
    </w:lvl>
    <w:lvl w:ilvl="6" w:tplc="1884F832" w:tentative="1">
      <w:start w:val="1"/>
      <w:numFmt w:val="decimal"/>
      <w:lvlText w:val="%7."/>
      <w:lvlJc w:val="left"/>
      <w:pPr>
        <w:ind w:left="5746" w:hanging="360"/>
      </w:pPr>
    </w:lvl>
    <w:lvl w:ilvl="7" w:tplc="31D648C0" w:tentative="1">
      <w:start w:val="1"/>
      <w:numFmt w:val="lowerLetter"/>
      <w:lvlText w:val="%8."/>
      <w:lvlJc w:val="left"/>
      <w:pPr>
        <w:ind w:left="6466" w:hanging="360"/>
      </w:pPr>
    </w:lvl>
    <w:lvl w:ilvl="8" w:tplc="4C8AA194" w:tentative="1">
      <w:start w:val="1"/>
      <w:numFmt w:val="lowerRoman"/>
      <w:lvlText w:val="%9."/>
      <w:lvlJc w:val="right"/>
      <w:pPr>
        <w:ind w:left="7186" w:hanging="180"/>
      </w:pPr>
    </w:lvl>
  </w:abstractNum>
  <w:abstractNum w:abstractNumId="20" w15:restartNumberingAfterBreak="0">
    <w:nsid w:val="4C743109"/>
    <w:multiLevelType w:val="hybridMultilevel"/>
    <w:tmpl w:val="DD2ECB6C"/>
    <w:lvl w:ilvl="0" w:tplc="794CC4D4">
      <w:start w:val="1"/>
      <w:numFmt w:val="bullet"/>
      <w:lvlText w:val=""/>
      <w:lvlJc w:val="left"/>
      <w:pPr>
        <w:ind w:left="720" w:hanging="360"/>
      </w:pPr>
      <w:rPr>
        <w:rFonts w:ascii="Symbol" w:hAnsi="Symbol" w:hint="default"/>
      </w:rPr>
    </w:lvl>
    <w:lvl w:ilvl="1" w:tplc="6EB6A8E4" w:tentative="1">
      <w:start w:val="1"/>
      <w:numFmt w:val="bullet"/>
      <w:lvlText w:val="o"/>
      <w:lvlJc w:val="left"/>
      <w:pPr>
        <w:ind w:left="1440" w:hanging="360"/>
      </w:pPr>
      <w:rPr>
        <w:rFonts w:ascii="Courier New" w:hAnsi="Courier New" w:cs="Courier New" w:hint="default"/>
      </w:rPr>
    </w:lvl>
    <w:lvl w:ilvl="2" w:tplc="AE7070EE" w:tentative="1">
      <w:start w:val="1"/>
      <w:numFmt w:val="bullet"/>
      <w:lvlText w:val=""/>
      <w:lvlJc w:val="left"/>
      <w:pPr>
        <w:ind w:left="2160" w:hanging="360"/>
      </w:pPr>
      <w:rPr>
        <w:rFonts w:ascii="Wingdings" w:hAnsi="Wingdings" w:hint="default"/>
      </w:rPr>
    </w:lvl>
    <w:lvl w:ilvl="3" w:tplc="D9CAB0A6" w:tentative="1">
      <w:start w:val="1"/>
      <w:numFmt w:val="bullet"/>
      <w:lvlText w:val=""/>
      <w:lvlJc w:val="left"/>
      <w:pPr>
        <w:ind w:left="2880" w:hanging="360"/>
      </w:pPr>
      <w:rPr>
        <w:rFonts w:ascii="Symbol" w:hAnsi="Symbol" w:hint="default"/>
      </w:rPr>
    </w:lvl>
    <w:lvl w:ilvl="4" w:tplc="6BB44C7A" w:tentative="1">
      <w:start w:val="1"/>
      <w:numFmt w:val="bullet"/>
      <w:lvlText w:val="o"/>
      <w:lvlJc w:val="left"/>
      <w:pPr>
        <w:ind w:left="3600" w:hanging="360"/>
      </w:pPr>
      <w:rPr>
        <w:rFonts w:ascii="Courier New" w:hAnsi="Courier New" w:cs="Courier New" w:hint="default"/>
      </w:rPr>
    </w:lvl>
    <w:lvl w:ilvl="5" w:tplc="777C6D84" w:tentative="1">
      <w:start w:val="1"/>
      <w:numFmt w:val="bullet"/>
      <w:lvlText w:val=""/>
      <w:lvlJc w:val="left"/>
      <w:pPr>
        <w:ind w:left="4320" w:hanging="360"/>
      </w:pPr>
      <w:rPr>
        <w:rFonts w:ascii="Wingdings" w:hAnsi="Wingdings" w:hint="default"/>
      </w:rPr>
    </w:lvl>
    <w:lvl w:ilvl="6" w:tplc="F5822306" w:tentative="1">
      <w:start w:val="1"/>
      <w:numFmt w:val="bullet"/>
      <w:lvlText w:val=""/>
      <w:lvlJc w:val="left"/>
      <w:pPr>
        <w:ind w:left="5040" w:hanging="360"/>
      </w:pPr>
      <w:rPr>
        <w:rFonts w:ascii="Symbol" w:hAnsi="Symbol" w:hint="default"/>
      </w:rPr>
    </w:lvl>
    <w:lvl w:ilvl="7" w:tplc="FD08CA26" w:tentative="1">
      <w:start w:val="1"/>
      <w:numFmt w:val="bullet"/>
      <w:lvlText w:val="o"/>
      <w:lvlJc w:val="left"/>
      <w:pPr>
        <w:ind w:left="5760" w:hanging="360"/>
      </w:pPr>
      <w:rPr>
        <w:rFonts w:ascii="Courier New" w:hAnsi="Courier New" w:cs="Courier New" w:hint="default"/>
      </w:rPr>
    </w:lvl>
    <w:lvl w:ilvl="8" w:tplc="CBA4F8FC" w:tentative="1">
      <w:start w:val="1"/>
      <w:numFmt w:val="bullet"/>
      <w:lvlText w:val=""/>
      <w:lvlJc w:val="left"/>
      <w:pPr>
        <w:ind w:left="6480" w:hanging="360"/>
      </w:pPr>
      <w:rPr>
        <w:rFonts w:ascii="Wingdings" w:hAnsi="Wingdings" w:hint="default"/>
      </w:rPr>
    </w:lvl>
  </w:abstractNum>
  <w:abstractNum w:abstractNumId="21" w15:restartNumberingAfterBreak="0">
    <w:nsid w:val="50674FF9"/>
    <w:multiLevelType w:val="hybridMultilevel"/>
    <w:tmpl w:val="2AB49B6A"/>
    <w:lvl w:ilvl="0" w:tplc="0F2C5096">
      <w:start w:val="1"/>
      <w:numFmt w:val="decimal"/>
      <w:lvlText w:val="%1."/>
      <w:lvlJc w:val="left"/>
      <w:pPr>
        <w:ind w:left="360" w:hanging="360"/>
      </w:pPr>
      <w:rPr>
        <w:rFonts w:hint="default"/>
      </w:rPr>
    </w:lvl>
    <w:lvl w:ilvl="1" w:tplc="1A241E58" w:tentative="1">
      <w:start w:val="1"/>
      <w:numFmt w:val="lowerLetter"/>
      <w:lvlText w:val="%2."/>
      <w:lvlJc w:val="left"/>
      <w:pPr>
        <w:ind w:left="1080" w:hanging="360"/>
      </w:pPr>
    </w:lvl>
    <w:lvl w:ilvl="2" w:tplc="71ECC728" w:tentative="1">
      <w:start w:val="1"/>
      <w:numFmt w:val="lowerRoman"/>
      <w:lvlText w:val="%3."/>
      <w:lvlJc w:val="right"/>
      <w:pPr>
        <w:ind w:left="1800" w:hanging="180"/>
      </w:pPr>
    </w:lvl>
    <w:lvl w:ilvl="3" w:tplc="00668F32" w:tentative="1">
      <w:start w:val="1"/>
      <w:numFmt w:val="decimal"/>
      <w:lvlText w:val="%4."/>
      <w:lvlJc w:val="left"/>
      <w:pPr>
        <w:ind w:left="2520" w:hanging="360"/>
      </w:pPr>
    </w:lvl>
    <w:lvl w:ilvl="4" w:tplc="1C0A1C9E" w:tentative="1">
      <w:start w:val="1"/>
      <w:numFmt w:val="lowerLetter"/>
      <w:lvlText w:val="%5."/>
      <w:lvlJc w:val="left"/>
      <w:pPr>
        <w:ind w:left="3240" w:hanging="360"/>
      </w:pPr>
    </w:lvl>
    <w:lvl w:ilvl="5" w:tplc="4A609E64" w:tentative="1">
      <w:start w:val="1"/>
      <w:numFmt w:val="lowerRoman"/>
      <w:lvlText w:val="%6."/>
      <w:lvlJc w:val="right"/>
      <w:pPr>
        <w:ind w:left="3960" w:hanging="180"/>
      </w:pPr>
    </w:lvl>
    <w:lvl w:ilvl="6" w:tplc="FF421274" w:tentative="1">
      <w:start w:val="1"/>
      <w:numFmt w:val="decimal"/>
      <w:lvlText w:val="%7."/>
      <w:lvlJc w:val="left"/>
      <w:pPr>
        <w:ind w:left="4680" w:hanging="360"/>
      </w:pPr>
    </w:lvl>
    <w:lvl w:ilvl="7" w:tplc="49E65C68" w:tentative="1">
      <w:start w:val="1"/>
      <w:numFmt w:val="lowerLetter"/>
      <w:lvlText w:val="%8."/>
      <w:lvlJc w:val="left"/>
      <w:pPr>
        <w:ind w:left="5400" w:hanging="360"/>
      </w:pPr>
    </w:lvl>
    <w:lvl w:ilvl="8" w:tplc="5FE2C6B0" w:tentative="1">
      <w:start w:val="1"/>
      <w:numFmt w:val="lowerRoman"/>
      <w:lvlText w:val="%9."/>
      <w:lvlJc w:val="right"/>
      <w:pPr>
        <w:ind w:left="6120" w:hanging="180"/>
      </w:pPr>
    </w:lvl>
  </w:abstractNum>
  <w:abstractNum w:abstractNumId="22" w15:restartNumberingAfterBreak="0">
    <w:nsid w:val="522946F3"/>
    <w:multiLevelType w:val="hybridMultilevel"/>
    <w:tmpl w:val="B9267A60"/>
    <w:lvl w:ilvl="0" w:tplc="651C6C78">
      <w:start w:val="1"/>
      <w:numFmt w:val="bullet"/>
      <w:lvlText w:val="-"/>
      <w:lvlJc w:val="left"/>
      <w:pPr>
        <w:ind w:left="720" w:hanging="360"/>
      </w:pPr>
      <w:rPr>
        <w:rFonts w:ascii="Arial" w:eastAsia="Times New Roman" w:hAnsi="Arial" w:cs="Arial" w:hint="default"/>
      </w:rPr>
    </w:lvl>
    <w:lvl w:ilvl="1" w:tplc="9356E188" w:tentative="1">
      <w:start w:val="1"/>
      <w:numFmt w:val="bullet"/>
      <w:lvlText w:val="o"/>
      <w:lvlJc w:val="left"/>
      <w:pPr>
        <w:ind w:left="1440" w:hanging="360"/>
      </w:pPr>
      <w:rPr>
        <w:rFonts w:ascii="Courier New" w:hAnsi="Courier New" w:cs="Courier New" w:hint="default"/>
      </w:rPr>
    </w:lvl>
    <w:lvl w:ilvl="2" w:tplc="BA9ED9EC" w:tentative="1">
      <w:start w:val="1"/>
      <w:numFmt w:val="bullet"/>
      <w:lvlText w:val=""/>
      <w:lvlJc w:val="left"/>
      <w:pPr>
        <w:ind w:left="2160" w:hanging="360"/>
      </w:pPr>
      <w:rPr>
        <w:rFonts w:ascii="Wingdings" w:hAnsi="Wingdings" w:hint="default"/>
      </w:rPr>
    </w:lvl>
    <w:lvl w:ilvl="3" w:tplc="BCDCB5C6" w:tentative="1">
      <w:start w:val="1"/>
      <w:numFmt w:val="bullet"/>
      <w:lvlText w:val=""/>
      <w:lvlJc w:val="left"/>
      <w:pPr>
        <w:ind w:left="2880" w:hanging="360"/>
      </w:pPr>
      <w:rPr>
        <w:rFonts w:ascii="Symbol" w:hAnsi="Symbol" w:hint="default"/>
      </w:rPr>
    </w:lvl>
    <w:lvl w:ilvl="4" w:tplc="E1866B1C" w:tentative="1">
      <w:start w:val="1"/>
      <w:numFmt w:val="bullet"/>
      <w:lvlText w:val="o"/>
      <w:lvlJc w:val="left"/>
      <w:pPr>
        <w:ind w:left="3600" w:hanging="360"/>
      </w:pPr>
      <w:rPr>
        <w:rFonts w:ascii="Courier New" w:hAnsi="Courier New" w:cs="Courier New" w:hint="default"/>
      </w:rPr>
    </w:lvl>
    <w:lvl w:ilvl="5" w:tplc="A874098A" w:tentative="1">
      <w:start w:val="1"/>
      <w:numFmt w:val="bullet"/>
      <w:lvlText w:val=""/>
      <w:lvlJc w:val="left"/>
      <w:pPr>
        <w:ind w:left="4320" w:hanging="360"/>
      </w:pPr>
      <w:rPr>
        <w:rFonts w:ascii="Wingdings" w:hAnsi="Wingdings" w:hint="default"/>
      </w:rPr>
    </w:lvl>
    <w:lvl w:ilvl="6" w:tplc="43322CF0" w:tentative="1">
      <w:start w:val="1"/>
      <w:numFmt w:val="bullet"/>
      <w:lvlText w:val=""/>
      <w:lvlJc w:val="left"/>
      <w:pPr>
        <w:ind w:left="5040" w:hanging="360"/>
      </w:pPr>
      <w:rPr>
        <w:rFonts w:ascii="Symbol" w:hAnsi="Symbol" w:hint="default"/>
      </w:rPr>
    </w:lvl>
    <w:lvl w:ilvl="7" w:tplc="6C4064C4" w:tentative="1">
      <w:start w:val="1"/>
      <w:numFmt w:val="bullet"/>
      <w:lvlText w:val="o"/>
      <w:lvlJc w:val="left"/>
      <w:pPr>
        <w:ind w:left="5760" w:hanging="360"/>
      </w:pPr>
      <w:rPr>
        <w:rFonts w:ascii="Courier New" w:hAnsi="Courier New" w:cs="Courier New" w:hint="default"/>
      </w:rPr>
    </w:lvl>
    <w:lvl w:ilvl="8" w:tplc="4D144AEA" w:tentative="1">
      <w:start w:val="1"/>
      <w:numFmt w:val="bullet"/>
      <w:lvlText w:val=""/>
      <w:lvlJc w:val="left"/>
      <w:pPr>
        <w:ind w:left="6480" w:hanging="360"/>
      </w:pPr>
      <w:rPr>
        <w:rFonts w:ascii="Wingdings" w:hAnsi="Wingdings" w:hint="default"/>
      </w:rPr>
    </w:lvl>
  </w:abstractNum>
  <w:abstractNum w:abstractNumId="23" w15:restartNumberingAfterBreak="0">
    <w:nsid w:val="546A2BE9"/>
    <w:multiLevelType w:val="hybridMultilevel"/>
    <w:tmpl w:val="04DCD45C"/>
    <w:name w:val="NumHeadingList2"/>
    <w:lvl w:ilvl="0" w:tplc="8F20686A">
      <w:start w:val="1"/>
      <w:numFmt w:val="decimal"/>
      <w:lvlText w:val="%1."/>
      <w:lvlJc w:val="left"/>
      <w:pPr>
        <w:ind w:left="360" w:hanging="360"/>
      </w:pPr>
      <w:rPr>
        <w:rFonts w:hint="default"/>
      </w:rPr>
    </w:lvl>
    <w:lvl w:ilvl="1" w:tplc="39B4402A">
      <w:start w:val="1"/>
      <w:numFmt w:val="bullet"/>
      <w:lvlText w:val=""/>
      <w:lvlJc w:val="left"/>
      <w:pPr>
        <w:ind w:left="1080" w:hanging="360"/>
      </w:pPr>
      <w:rPr>
        <w:rFonts w:ascii="Symbol" w:hAnsi="Symbol" w:hint="default"/>
      </w:rPr>
    </w:lvl>
    <w:lvl w:ilvl="2" w:tplc="EB8C1320">
      <w:start w:val="1"/>
      <w:numFmt w:val="lowerRoman"/>
      <w:lvlText w:val="%3."/>
      <w:lvlJc w:val="right"/>
      <w:pPr>
        <w:ind w:left="1800" w:hanging="180"/>
      </w:pPr>
    </w:lvl>
    <w:lvl w:ilvl="3" w:tplc="FEC8C200" w:tentative="1">
      <w:start w:val="1"/>
      <w:numFmt w:val="decimal"/>
      <w:lvlText w:val="%4."/>
      <w:lvlJc w:val="left"/>
      <w:pPr>
        <w:ind w:left="2520" w:hanging="360"/>
      </w:pPr>
    </w:lvl>
    <w:lvl w:ilvl="4" w:tplc="F468D28C" w:tentative="1">
      <w:start w:val="1"/>
      <w:numFmt w:val="lowerLetter"/>
      <w:lvlText w:val="%5."/>
      <w:lvlJc w:val="left"/>
      <w:pPr>
        <w:ind w:left="3240" w:hanging="360"/>
      </w:pPr>
    </w:lvl>
    <w:lvl w:ilvl="5" w:tplc="C8EC8018" w:tentative="1">
      <w:start w:val="1"/>
      <w:numFmt w:val="lowerRoman"/>
      <w:lvlText w:val="%6."/>
      <w:lvlJc w:val="right"/>
      <w:pPr>
        <w:ind w:left="3960" w:hanging="180"/>
      </w:pPr>
    </w:lvl>
    <w:lvl w:ilvl="6" w:tplc="9190D4A4" w:tentative="1">
      <w:start w:val="1"/>
      <w:numFmt w:val="decimal"/>
      <w:lvlText w:val="%7."/>
      <w:lvlJc w:val="left"/>
      <w:pPr>
        <w:ind w:left="4680" w:hanging="360"/>
      </w:pPr>
    </w:lvl>
    <w:lvl w:ilvl="7" w:tplc="477A6BA0" w:tentative="1">
      <w:start w:val="1"/>
      <w:numFmt w:val="lowerLetter"/>
      <w:lvlText w:val="%8."/>
      <w:lvlJc w:val="left"/>
      <w:pPr>
        <w:ind w:left="5400" w:hanging="360"/>
      </w:pPr>
    </w:lvl>
    <w:lvl w:ilvl="8" w:tplc="3B72FA9C" w:tentative="1">
      <w:start w:val="1"/>
      <w:numFmt w:val="lowerRoman"/>
      <w:lvlText w:val="%9."/>
      <w:lvlJc w:val="right"/>
      <w:pPr>
        <w:ind w:left="6120" w:hanging="180"/>
      </w:pPr>
    </w:lvl>
  </w:abstractNum>
  <w:abstractNum w:abstractNumId="24" w15:restartNumberingAfterBreak="0">
    <w:nsid w:val="54C12661"/>
    <w:multiLevelType w:val="hybridMultilevel"/>
    <w:tmpl w:val="0DFCE632"/>
    <w:lvl w:ilvl="0" w:tplc="98F0C970">
      <w:start w:val="1"/>
      <w:numFmt w:val="lowerLetter"/>
      <w:lvlText w:val="%1)"/>
      <w:lvlJc w:val="left"/>
      <w:pPr>
        <w:ind w:left="360" w:hanging="360"/>
      </w:pPr>
      <w:rPr>
        <w:rFonts w:hint="default"/>
      </w:rPr>
    </w:lvl>
    <w:lvl w:ilvl="1" w:tplc="439ADBFC" w:tentative="1">
      <w:start w:val="1"/>
      <w:numFmt w:val="lowerLetter"/>
      <w:lvlText w:val="%2."/>
      <w:lvlJc w:val="left"/>
      <w:pPr>
        <w:ind w:left="1080" w:hanging="360"/>
      </w:pPr>
    </w:lvl>
    <w:lvl w:ilvl="2" w:tplc="03F2CECE" w:tentative="1">
      <w:start w:val="1"/>
      <w:numFmt w:val="lowerRoman"/>
      <w:lvlText w:val="%3."/>
      <w:lvlJc w:val="right"/>
      <w:pPr>
        <w:ind w:left="1800" w:hanging="180"/>
      </w:pPr>
    </w:lvl>
    <w:lvl w:ilvl="3" w:tplc="6300549C" w:tentative="1">
      <w:start w:val="1"/>
      <w:numFmt w:val="decimal"/>
      <w:lvlText w:val="%4."/>
      <w:lvlJc w:val="left"/>
      <w:pPr>
        <w:ind w:left="2520" w:hanging="360"/>
      </w:pPr>
    </w:lvl>
    <w:lvl w:ilvl="4" w:tplc="5B704190" w:tentative="1">
      <w:start w:val="1"/>
      <w:numFmt w:val="lowerLetter"/>
      <w:lvlText w:val="%5."/>
      <w:lvlJc w:val="left"/>
      <w:pPr>
        <w:ind w:left="3240" w:hanging="360"/>
      </w:pPr>
    </w:lvl>
    <w:lvl w:ilvl="5" w:tplc="84F08CE4" w:tentative="1">
      <w:start w:val="1"/>
      <w:numFmt w:val="lowerRoman"/>
      <w:lvlText w:val="%6."/>
      <w:lvlJc w:val="right"/>
      <w:pPr>
        <w:ind w:left="3960" w:hanging="180"/>
      </w:pPr>
    </w:lvl>
    <w:lvl w:ilvl="6" w:tplc="A8C8A450" w:tentative="1">
      <w:start w:val="1"/>
      <w:numFmt w:val="decimal"/>
      <w:lvlText w:val="%7."/>
      <w:lvlJc w:val="left"/>
      <w:pPr>
        <w:ind w:left="4680" w:hanging="360"/>
      </w:pPr>
    </w:lvl>
    <w:lvl w:ilvl="7" w:tplc="2996D9FA" w:tentative="1">
      <w:start w:val="1"/>
      <w:numFmt w:val="lowerLetter"/>
      <w:lvlText w:val="%8."/>
      <w:lvlJc w:val="left"/>
      <w:pPr>
        <w:ind w:left="5400" w:hanging="360"/>
      </w:pPr>
    </w:lvl>
    <w:lvl w:ilvl="8" w:tplc="E0B2C69E" w:tentative="1">
      <w:start w:val="1"/>
      <w:numFmt w:val="lowerRoman"/>
      <w:lvlText w:val="%9."/>
      <w:lvlJc w:val="right"/>
      <w:pPr>
        <w:ind w:left="6120" w:hanging="180"/>
      </w:pPr>
    </w:lvl>
  </w:abstractNum>
  <w:abstractNum w:abstractNumId="25" w15:restartNumberingAfterBreak="0">
    <w:nsid w:val="554B6D60"/>
    <w:multiLevelType w:val="hybridMultilevel"/>
    <w:tmpl w:val="C81A1CEA"/>
    <w:lvl w:ilvl="0" w:tplc="CDD4B6DC">
      <w:start w:val="1"/>
      <w:numFmt w:val="lowerLetter"/>
      <w:lvlText w:val="%1)"/>
      <w:lvlJc w:val="left"/>
      <w:pPr>
        <w:ind w:left="720" w:hanging="360"/>
      </w:pPr>
      <w:rPr>
        <w:rFonts w:hint="default"/>
      </w:rPr>
    </w:lvl>
    <w:lvl w:ilvl="1" w:tplc="A65C892E" w:tentative="1">
      <w:start w:val="1"/>
      <w:numFmt w:val="lowerLetter"/>
      <w:lvlText w:val="%2."/>
      <w:lvlJc w:val="left"/>
      <w:pPr>
        <w:ind w:left="1440" w:hanging="360"/>
      </w:pPr>
    </w:lvl>
    <w:lvl w:ilvl="2" w:tplc="33329464" w:tentative="1">
      <w:start w:val="1"/>
      <w:numFmt w:val="lowerRoman"/>
      <w:lvlText w:val="%3."/>
      <w:lvlJc w:val="right"/>
      <w:pPr>
        <w:ind w:left="2160" w:hanging="180"/>
      </w:pPr>
    </w:lvl>
    <w:lvl w:ilvl="3" w:tplc="5AEA4B68" w:tentative="1">
      <w:start w:val="1"/>
      <w:numFmt w:val="decimal"/>
      <w:lvlText w:val="%4."/>
      <w:lvlJc w:val="left"/>
      <w:pPr>
        <w:ind w:left="2880" w:hanging="360"/>
      </w:pPr>
    </w:lvl>
    <w:lvl w:ilvl="4" w:tplc="5858A018" w:tentative="1">
      <w:start w:val="1"/>
      <w:numFmt w:val="lowerLetter"/>
      <w:lvlText w:val="%5."/>
      <w:lvlJc w:val="left"/>
      <w:pPr>
        <w:ind w:left="3600" w:hanging="360"/>
      </w:pPr>
    </w:lvl>
    <w:lvl w:ilvl="5" w:tplc="1F764EE0" w:tentative="1">
      <w:start w:val="1"/>
      <w:numFmt w:val="lowerRoman"/>
      <w:lvlText w:val="%6."/>
      <w:lvlJc w:val="right"/>
      <w:pPr>
        <w:ind w:left="4320" w:hanging="180"/>
      </w:pPr>
    </w:lvl>
    <w:lvl w:ilvl="6" w:tplc="78D2A476" w:tentative="1">
      <w:start w:val="1"/>
      <w:numFmt w:val="decimal"/>
      <w:lvlText w:val="%7."/>
      <w:lvlJc w:val="left"/>
      <w:pPr>
        <w:ind w:left="5040" w:hanging="360"/>
      </w:pPr>
    </w:lvl>
    <w:lvl w:ilvl="7" w:tplc="E5161A5C" w:tentative="1">
      <w:start w:val="1"/>
      <w:numFmt w:val="lowerLetter"/>
      <w:lvlText w:val="%8."/>
      <w:lvlJc w:val="left"/>
      <w:pPr>
        <w:ind w:left="5760" w:hanging="360"/>
      </w:pPr>
    </w:lvl>
    <w:lvl w:ilvl="8" w:tplc="83FCBFFA" w:tentative="1">
      <w:start w:val="1"/>
      <w:numFmt w:val="lowerRoman"/>
      <w:lvlText w:val="%9."/>
      <w:lvlJc w:val="right"/>
      <w:pPr>
        <w:ind w:left="6480" w:hanging="180"/>
      </w:pPr>
    </w:lvl>
  </w:abstractNum>
  <w:abstractNum w:abstractNumId="26" w15:restartNumberingAfterBreak="0">
    <w:nsid w:val="55A8680E"/>
    <w:multiLevelType w:val="hybridMultilevel"/>
    <w:tmpl w:val="12DAA4D2"/>
    <w:lvl w:ilvl="0" w:tplc="0DFA891E">
      <w:start w:val="1"/>
      <w:numFmt w:val="decimal"/>
      <w:pStyle w:val="Numberlist"/>
      <w:lvlText w:val="%1."/>
      <w:lvlJc w:val="left"/>
      <w:pPr>
        <w:ind w:left="720" w:hanging="360"/>
      </w:pPr>
    </w:lvl>
    <w:lvl w:ilvl="1" w:tplc="D198698C" w:tentative="1">
      <w:start w:val="1"/>
      <w:numFmt w:val="lowerLetter"/>
      <w:lvlText w:val="%2."/>
      <w:lvlJc w:val="left"/>
      <w:pPr>
        <w:ind w:left="1440" w:hanging="360"/>
      </w:pPr>
    </w:lvl>
    <w:lvl w:ilvl="2" w:tplc="87288FFC" w:tentative="1">
      <w:start w:val="1"/>
      <w:numFmt w:val="lowerRoman"/>
      <w:lvlText w:val="%3."/>
      <w:lvlJc w:val="right"/>
      <w:pPr>
        <w:ind w:left="2160" w:hanging="180"/>
      </w:pPr>
    </w:lvl>
    <w:lvl w:ilvl="3" w:tplc="2354B52A" w:tentative="1">
      <w:start w:val="1"/>
      <w:numFmt w:val="decimal"/>
      <w:lvlText w:val="%4."/>
      <w:lvlJc w:val="left"/>
      <w:pPr>
        <w:ind w:left="2880" w:hanging="360"/>
      </w:pPr>
    </w:lvl>
    <w:lvl w:ilvl="4" w:tplc="B5F65120" w:tentative="1">
      <w:start w:val="1"/>
      <w:numFmt w:val="lowerLetter"/>
      <w:lvlText w:val="%5."/>
      <w:lvlJc w:val="left"/>
      <w:pPr>
        <w:ind w:left="3600" w:hanging="360"/>
      </w:pPr>
    </w:lvl>
    <w:lvl w:ilvl="5" w:tplc="CF126F34" w:tentative="1">
      <w:start w:val="1"/>
      <w:numFmt w:val="lowerRoman"/>
      <w:lvlText w:val="%6."/>
      <w:lvlJc w:val="right"/>
      <w:pPr>
        <w:ind w:left="4320" w:hanging="180"/>
      </w:pPr>
    </w:lvl>
    <w:lvl w:ilvl="6" w:tplc="7B060D8E" w:tentative="1">
      <w:start w:val="1"/>
      <w:numFmt w:val="decimal"/>
      <w:lvlText w:val="%7."/>
      <w:lvlJc w:val="left"/>
      <w:pPr>
        <w:ind w:left="5040" w:hanging="360"/>
      </w:pPr>
    </w:lvl>
    <w:lvl w:ilvl="7" w:tplc="60D434FE" w:tentative="1">
      <w:start w:val="1"/>
      <w:numFmt w:val="lowerLetter"/>
      <w:lvlText w:val="%8."/>
      <w:lvlJc w:val="left"/>
      <w:pPr>
        <w:ind w:left="5760" w:hanging="360"/>
      </w:pPr>
    </w:lvl>
    <w:lvl w:ilvl="8" w:tplc="69741ABC" w:tentative="1">
      <w:start w:val="1"/>
      <w:numFmt w:val="lowerRoman"/>
      <w:lvlText w:val="%9."/>
      <w:lvlJc w:val="right"/>
      <w:pPr>
        <w:ind w:left="6480" w:hanging="180"/>
      </w:pPr>
    </w:lvl>
  </w:abstractNum>
  <w:abstractNum w:abstractNumId="27" w15:restartNumberingAfterBreak="0">
    <w:nsid w:val="57814A9A"/>
    <w:multiLevelType w:val="hybridMultilevel"/>
    <w:tmpl w:val="DE028E84"/>
    <w:lvl w:ilvl="0" w:tplc="19368188">
      <w:start w:val="1"/>
      <w:numFmt w:val="decimal"/>
      <w:lvlText w:val="%1."/>
      <w:lvlJc w:val="left"/>
      <w:pPr>
        <w:ind w:left="360" w:hanging="360"/>
      </w:pPr>
      <w:rPr>
        <w:rFonts w:hint="default"/>
      </w:rPr>
    </w:lvl>
    <w:lvl w:ilvl="1" w:tplc="C75CC150" w:tentative="1">
      <w:start w:val="1"/>
      <w:numFmt w:val="lowerLetter"/>
      <w:lvlText w:val="%2."/>
      <w:lvlJc w:val="left"/>
      <w:pPr>
        <w:ind w:left="1080" w:hanging="360"/>
      </w:pPr>
    </w:lvl>
    <w:lvl w:ilvl="2" w:tplc="9DAA047A" w:tentative="1">
      <w:start w:val="1"/>
      <w:numFmt w:val="lowerRoman"/>
      <w:lvlText w:val="%3."/>
      <w:lvlJc w:val="right"/>
      <w:pPr>
        <w:ind w:left="1800" w:hanging="180"/>
      </w:pPr>
    </w:lvl>
    <w:lvl w:ilvl="3" w:tplc="F55A14B4" w:tentative="1">
      <w:start w:val="1"/>
      <w:numFmt w:val="decimal"/>
      <w:lvlText w:val="%4."/>
      <w:lvlJc w:val="left"/>
      <w:pPr>
        <w:ind w:left="2520" w:hanging="360"/>
      </w:pPr>
    </w:lvl>
    <w:lvl w:ilvl="4" w:tplc="BB30B412" w:tentative="1">
      <w:start w:val="1"/>
      <w:numFmt w:val="lowerLetter"/>
      <w:lvlText w:val="%5."/>
      <w:lvlJc w:val="left"/>
      <w:pPr>
        <w:ind w:left="3240" w:hanging="360"/>
      </w:pPr>
    </w:lvl>
    <w:lvl w:ilvl="5" w:tplc="9D2C1540" w:tentative="1">
      <w:start w:val="1"/>
      <w:numFmt w:val="lowerRoman"/>
      <w:lvlText w:val="%6."/>
      <w:lvlJc w:val="right"/>
      <w:pPr>
        <w:ind w:left="3960" w:hanging="180"/>
      </w:pPr>
    </w:lvl>
    <w:lvl w:ilvl="6" w:tplc="8D64E1F0" w:tentative="1">
      <w:start w:val="1"/>
      <w:numFmt w:val="decimal"/>
      <w:lvlText w:val="%7."/>
      <w:lvlJc w:val="left"/>
      <w:pPr>
        <w:ind w:left="4680" w:hanging="360"/>
      </w:pPr>
    </w:lvl>
    <w:lvl w:ilvl="7" w:tplc="3C304872" w:tentative="1">
      <w:start w:val="1"/>
      <w:numFmt w:val="lowerLetter"/>
      <w:lvlText w:val="%8."/>
      <w:lvlJc w:val="left"/>
      <w:pPr>
        <w:ind w:left="5400" w:hanging="360"/>
      </w:pPr>
    </w:lvl>
    <w:lvl w:ilvl="8" w:tplc="AFA6090A" w:tentative="1">
      <w:start w:val="1"/>
      <w:numFmt w:val="lowerRoman"/>
      <w:lvlText w:val="%9."/>
      <w:lvlJc w:val="right"/>
      <w:pPr>
        <w:ind w:left="6120" w:hanging="180"/>
      </w:pPr>
    </w:lvl>
  </w:abstractNum>
  <w:abstractNum w:abstractNumId="28" w15:restartNumberingAfterBreak="0">
    <w:nsid w:val="58200432"/>
    <w:multiLevelType w:val="hybridMultilevel"/>
    <w:tmpl w:val="58A2D708"/>
    <w:lvl w:ilvl="0" w:tplc="14AA088E">
      <w:start w:val="1"/>
      <w:numFmt w:val="bullet"/>
      <w:lvlText w:val=""/>
      <w:lvlJc w:val="left"/>
      <w:pPr>
        <w:ind w:left="720" w:hanging="360"/>
      </w:pPr>
      <w:rPr>
        <w:rFonts w:ascii="Symbol" w:hAnsi="Symbol" w:hint="default"/>
      </w:rPr>
    </w:lvl>
    <w:lvl w:ilvl="1" w:tplc="9CEEE944" w:tentative="1">
      <w:start w:val="1"/>
      <w:numFmt w:val="bullet"/>
      <w:lvlText w:val="o"/>
      <w:lvlJc w:val="left"/>
      <w:pPr>
        <w:ind w:left="1440" w:hanging="360"/>
      </w:pPr>
      <w:rPr>
        <w:rFonts w:ascii="Courier New" w:hAnsi="Courier New" w:cs="Courier New" w:hint="default"/>
      </w:rPr>
    </w:lvl>
    <w:lvl w:ilvl="2" w:tplc="89946BD8" w:tentative="1">
      <w:start w:val="1"/>
      <w:numFmt w:val="bullet"/>
      <w:lvlText w:val=""/>
      <w:lvlJc w:val="left"/>
      <w:pPr>
        <w:ind w:left="2160" w:hanging="360"/>
      </w:pPr>
      <w:rPr>
        <w:rFonts w:ascii="Wingdings" w:hAnsi="Wingdings" w:hint="default"/>
      </w:rPr>
    </w:lvl>
    <w:lvl w:ilvl="3" w:tplc="A7EED684" w:tentative="1">
      <w:start w:val="1"/>
      <w:numFmt w:val="bullet"/>
      <w:lvlText w:val=""/>
      <w:lvlJc w:val="left"/>
      <w:pPr>
        <w:ind w:left="2880" w:hanging="360"/>
      </w:pPr>
      <w:rPr>
        <w:rFonts w:ascii="Symbol" w:hAnsi="Symbol" w:hint="default"/>
      </w:rPr>
    </w:lvl>
    <w:lvl w:ilvl="4" w:tplc="29D88874" w:tentative="1">
      <w:start w:val="1"/>
      <w:numFmt w:val="bullet"/>
      <w:lvlText w:val="o"/>
      <w:lvlJc w:val="left"/>
      <w:pPr>
        <w:ind w:left="3600" w:hanging="360"/>
      </w:pPr>
      <w:rPr>
        <w:rFonts w:ascii="Courier New" w:hAnsi="Courier New" w:cs="Courier New" w:hint="default"/>
      </w:rPr>
    </w:lvl>
    <w:lvl w:ilvl="5" w:tplc="39140266" w:tentative="1">
      <w:start w:val="1"/>
      <w:numFmt w:val="bullet"/>
      <w:lvlText w:val=""/>
      <w:lvlJc w:val="left"/>
      <w:pPr>
        <w:ind w:left="4320" w:hanging="360"/>
      </w:pPr>
      <w:rPr>
        <w:rFonts w:ascii="Wingdings" w:hAnsi="Wingdings" w:hint="default"/>
      </w:rPr>
    </w:lvl>
    <w:lvl w:ilvl="6" w:tplc="3F6466D2" w:tentative="1">
      <w:start w:val="1"/>
      <w:numFmt w:val="bullet"/>
      <w:lvlText w:val=""/>
      <w:lvlJc w:val="left"/>
      <w:pPr>
        <w:ind w:left="5040" w:hanging="360"/>
      </w:pPr>
      <w:rPr>
        <w:rFonts w:ascii="Symbol" w:hAnsi="Symbol" w:hint="default"/>
      </w:rPr>
    </w:lvl>
    <w:lvl w:ilvl="7" w:tplc="FABA4E2E" w:tentative="1">
      <w:start w:val="1"/>
      <w:numFmt w:val="bullet"/>
      <w:lvlText w:val="o"/>
      <w:lvlJc w:val="left"/>
      <w:pPr>
        <w:ind w:left="5760" w:hanging="360"/>
      </w:pPr>
      <w:rPr>
        <w:rFonts w:ascii="Courier New" w:hAnsi="Courier New" w:cs="Courier New" w:hint="default"/>
      </w:rPr>
    </w:lvl>
    <w:lvl w:ilvl="8" w:tplc="BFA6E254" w:tentative="1">
      <w:start w:val="1"/>
      <w:numFmt w:val="bullet"/>
      <w:lvlText w:val=""/>
      <w:lvlJc w:val="left"/>
      <w:pPr>
        <w:ind w:left="6480" w:hanging="360"/>
      </w:pPr>
      <w:rPr>
        <w:rFonts w:ascii="Wingdings" w:hAnsi="Wingdings" w:hint="default"/>
      </w:rPr>
    </w:lvl>
  </w:abstractNum>
  <w:abstractNum w:abstractNumId="29" w15:restartNumberingAfterBreak="0">
    <w:nsid w:val="5979317D"/>
    <w:multiLevelType w:val="hybridMultilevel"/>
    <w:tmpl w:val="6D4EBEF6"/>
    <w:lvl w:ilvl="0" w:tplc="AF3E8456">
      <w:start w:val="1"/>
      <w:numFmt w:val="bullet"/>
      <w:lvlText w:val=""/>
      <w:lvlJc w:val="left"/>
      <w:pPr>
        <w:ind w:left="720" w:hanging="360"/>
      </w:pPr>
      <w:rPr>
        <w:rFonts w:ascii="Symbol" w:hAnsi="Symbol" w:hint="default"/>
      </w:rPr>
    </w:lvl>
    <w:lvl w:ilvl="1" w:tplc="577A66F6">
      <w:start w:val="1"/>
      <w:numFmt w:val="bullet"/>
      <w:lvlText w:val="o"/>
      <w:lvlJc w:val="left"/>
      <w:pPr>
        <w:ind w:left="1440" w:hanging="360"/>
      </w:pPr>
      <w:rPr>
        <w:rFonts w:ascii="Courier New" w:hAnsi="Courier New" w:cs="Courier New" w:hint="default"/>
      </w:rPr>
    </w:lvl>
    <w:lvl w:ilvl="2" w:tplc="49AA7E20" w:tentative="1">
      <w:start w:val="1"/>
      <w:numFmt w:val="bullet"/>
      <w:lvlText w:val=""/>
      <w:lvlJc w:val="left"/>
      <w:pPr>
        <w:ind w:left="2160" w:hanging="360"/>
      </w:pPr>
      <w:rPr>
        <w:rFonts w:ascii="Wingdings" w:hAnsi="Wingdings" w:hint="default"/>
      </w:rPr>
    </w:lvl>
    <w:lvl w:ilvl="3" w:tplc="1BA28C7C" w:tentative="1">
      <w:start w:val="1"/>
      <w:numFmt w:val="bullet"/>
      <w:lvlText w:val=""/>
      <w:lvlJc w:val="left"/>
      <w:pPr>
        <w:ind w:left="2880" w:hanging="360"/>
      </w:pPr>
      <w:rPr>
        <w:rFonts w:ascii="Symbol" w:hAnsi="Symbol" w:hint="default"/>
      </w:rPr>
    </w:lvl>
    <w:lvl w:ilvl="4" w:tplc="FB42A8EC" w:tentative="1">
      <w:start w:val="1"/>
      <w:numFmt w:val="bullet"/>
      <w:lvlText w:val="o"/>
      <w:lvlJc w:val="left"/>
      <w:pPr>
        <w:ind w:left="3600" w:hanging="360"/>
      </w:pPr>
      <w:rPr>
        <w:rFonts w:ascii="Courier New" w:hAnsi="Courier New" w:cs="Courier New" w:hint="default"/>
      </w:rPr>
    </w:lvl>
    <w:lvl w:ilvl="5" w:tplc="FCF63296" w:tentative="1">
      <w:start w:val="1"/>
      <w:numFmt w:val="bullet"/>
      <w:lvlText w:val=""/>
      <w:lvlJc w:val="left"/>
      <w:pPr>
        <w:ind w:left="4320" w:hanging="360"/>
      </w:pPr>
      <w:rPr>
        <w:rFonts w:ascii="Wingdings" w:hAnsi="Wingdings" w:hint="default"/>
      </w:rPr>
    </w:lvl>
    <w:lvl w:ilvl="6" w:tplc="EC341342" w:tentative="1">
      <w:start w:val="1"/>
      <w:numFmt w:val="bullet"/>
      <w:lvlText w:val=""/>
      <w:lvlJc w:val="left"/>
      <w:pPr>
        <w:ind w:left="5040" w:hanging="360"/>
      </w:pPr>
      <w:rPr>
        <w:rFonts w:ascii="Symbol" w:hAnsi="Symbol" w:hint="default"/>
      </w:rPr>
    </w:lvl>
    <w:lvl w:ilvl="7" w:tplc="16784802" w:tentative="1">
      <w:start w:val="1"/>
      <w:numFmt w:val="bullet"/>
      <w:lvlText w:val="o"/>
      <w:lvlJc w:val="left"/>
      <w:pPr>
        <w:ind w:left="5760" w:hanging="360"/>
      </w:pPr>
      <w:rPr>
        <w:rFonts w:ascii="Courier New" w:hAnsi="Courier New" w:cs="Courier New" w:hint="default"/>
      </w:rPr>
    </w:lvl>
    <w:lvl w:ilvl="8" w:tplc="E77C08B0" w:tentative="1">
      <w:start w:val="1"/>
      <w:numFmt w:val="bullet"/>
      <w:lvlText w:val=""/>
      <w:lvlJc w:val="left"/>
      <w:pPr>
        <w:ind w:left="6480" w:hanging="360"/>
      </w:pPr>
      <w:rPr>
        <w:rFonts w:ascii="Wingdings" w:hAnsi="Wingdings" w:hint="default"/>
      </w:rPr>
    </w:lvl>
  </w:abstractNum>
  <w:abstractNum w:abstractNumId="30" w15:restartNumberingAfterBreak="0">
    <w:nsid w:val="5A217CA8"/>
    <w:multiLevelType w:val="hybridMultilevel"/>
    <w:tmpl w:val="30A0D562"/>
    <w:lvl w:ilvl="0" w:tplc="18EC9D7E">
      <w:start w:val="1"/>
      <w:numFmt w:val="lowerRoman"/>
      <w:lvlText w:val="%1."/>
      <w:lvlJc w:val="right"/>
      <w:pPr>
        <w:ind w:left="784" w:hanging="360"/>
      </w:pPr>
    </w:lvl>
    <w:lvl w:ilvl="1" w:tplc="8118E312" w:tentative="1">
      <w:start w:val="1"/>
      <w:numFmt w:val="lowerLetter"/>
      <w:lvlText w:val="%2."/>
      <w:lvlJc w:val="left"/>
      <w:pPr>
        <w:ind w:left="1504" w:hanging="360"/>
      </w:pPr>
    </w:lvl>
    <w:lvl w:ilvl="2" w:tplc="D39A355A" w:tentative="1">
      <w:start w:val="1"/>
      <w:numFmt w:val="lowerRoman"/>
      <w:lvlText w:val="%3."/>
      <w:lvlJc w:val="right"/>
      <w:pPr>
        <w:ind w:left="2224" w:hanging="180"/>
      </w:pPr>
    </w:lvl>
    <w:lvl w:ilvl="3" w:tplc="10CEFE7E" w:tentative="1">
      <w:start w:val="1"/>
      <w:numFmt w:val="decimal"/>
      <w:lvlText w:val="%4."/>
      <w:lvlJc w:val="left"/>
      <w:pPr>
        <w:ind w:left="2944" w:hanging="360"/>
      </w:pPr>
    </w:lvl>
    <w:lvl w:ilvl="4" w:tplc="E75E9A26" w:tentative="1">
      <w:start w:val="1"/>
      <w:numFmt w:val="lowerLetter"/>
      <w:lvlText w:val="%5."/>
      <w:lvlJc w:val="left"/>
      <w:pPr>
        <w:ind w:left="3664" w:hanging="360"/>
      </w:pPr>
    </w:lvl>
    <w:lvl w:ilvl="5" w:tplc="114C12D8" w:tentative="1">
      <w:start w:val="1"/>
      <w:numFmt w:val="lowerRoman"/>
      <w:lvlText w:val="%6."/>
      <w:lvlJc w:val="right"/>
      <w:pPr>
        <w:ind w:left="4384" w:hanging="180"/>
      </w:pPr>
    </w:lvl>
    <w:lvl w:ilvl="6" w:tplc="25BC0D1C" w:tentative="1">
      <w:start w:val="1"/>
      <w:numFmt w:val="decimal"/>
      <w:lvlText w:val="%7."/>
      <w:lvlJc w:val="left"/>
      <w:pPr>
        <w:ind w:left="5104" w:hanging="360"/>
      </w:pPr>
    </w:lvl>
    <w:lvl w:ilvl="7" w:tplc="60B46672" w:tentative="1">
      <w:start w:val="1"/>
      <w:numFmt w:val="lowerLetter"/>
      <w:lvlText w:val="%8."/>
      <w:lvlJc w:val="left"/>
      <w:pPr>
        <w:ind w:left="5824" w:hanging="360"/>
      </w:pPr>
    </w:lvl>
    <w:lvl w:ilvl="8" w:tplc="BD4CC276" w:tentative="1">
      <w:start w:val="1"/>
      <w:numFmt w:val="lowerRoman"/>
      <w:lvlText w:val="%9."/>
      <w:lvlJc w:val="right"/>
      <w:pPr>
        <w:ind w:left="6544" w:hanging="180"/>
      </w:pPr>
    </w:lvl>
  </w:abstractNum>
  <w:abstractNum w:abstractNumId="31" w15:restartNumberingAfterBreak="0">
    <w:nsid w:val="5FE35A8A"/>
    <w:multiLevelType w:val="hybridMultilevel"/>
    <w:tmpl w:val="4AE46B4E"/>
    <w:lvl w:ilvl="0" w:tplc="91340520">
      <w:start w:val="1"/>
      <w:numFmt w:val="bullet"/>
      <w:lvlText w:val=""/>
      <w:lvlJc w:val="left"/>
      <w:pPr>
        <w:ind w:left="720" w:hanging="360"/>
      </w:pPr>
      <w:rPr>
        <w:rFonts w:ascii="Symbol" w:hAnsi="Symbol" w:hint="default"/>
      </w:rPr>
    </w:lvl>
    <w:lvl w:ilvl="1" w:tplc="0102F686" w:tentative="1">
      <w:start w:val="1"/>
      <w:numFmt w:val="bullet"/>
      <w:lvlText w:val="o"/>
      <w:lvlJc w:val="left"/>
      <w:pPr>
        <w:ind w:left="1440" w:hanging="360"/>
      </w:pPr>
      <w:rPr>
        <w:rFonts w:ascii="Courier New" w:hAnsi="Courier New" w:cs="Courier New" w:hint="default"/>
      </w:rPr>
    </w:lvl>
    <w:lvl w:ilvl="2" w:tplc="29BEAA00" w:tentative="1">
      <w:start w:val="1"/>
      <w:numFmt w:val="bullet"/>
      <w:lvlText w:val=""/>
      <w:lvlJc w:val="left"/>
      <w:pPr>
        <w:ind w:left="2160" w:hanging="360"/>
      </w:pPr>
      <w:rPr>
        <w:rFonts w:ascii="Wingdings" w:hAnsi="Wingdings" w:hint="default"/>
      </w:rPr>
    </w:lvl>
    <w:lvl w:ilvl="3" w:tplc="760659A8" w:tentative="1">
      <w:start w:val="1"/>
      <w:numFmt w:val="bullet"/>
      <w:lvlText w:val=""/>
      <w:lvlJc w:val="left"/>
      <w:pPr>
        <w:ind w:left="2880" w:hanging="360"/>
      </w:pPr>
      <w:rPr>
        <w:rFonts w:ascii="Symbol" w:hAnsi="Symbol" w:hint="default"/>
      </w:rPr>
    </w:lvl>
    <w:lvl w:ilvl="4" w:tplc="F1A60C5E" w:tentative="1">
      <w:start w:val="1"/>
      <w:numFmt w:val="bullet"/>
      <w:lvlText w:val="o"/>
      <w:lvlJc w:val="left"/>
      <w:pPr>
        <w:ind w:left="3600" w:hanging="360"/>
      </w:pPr>
      <w:rPr>
        <w:rFonts w:ascii="Courier New" w:hAnsi="Courier New" w:cs="Courier New" w:hint="default"/>
      </w:rPr>
    </w:lvl>
    <w:lvl w:ilvl="5" w:tplc="AFDAE326" w:tentative="1">
      <w:start w:val="1"/>
      <w:numFmt w:val="bullet"/>
      <w:lvlText w:val=""/>
      <w:lvlJc w:val="left"/>
      <w:pPr>
        <w:ind w:left="4320" w:hanging="360"/>
      </w:pPr>
      <w:rPr>
        <w:rFonts w:ascii="Wingdings" w:hAnsi="Wingdings" w:hint="default"/>
      </w:rPr>
    </w:lvl>
    <w:lvl w:ilvl="6" w:tplc="A9C0DFEE" w:tentative="1">
      <w:start w:val="1"/>
      <w:numFmt w:val="bullet"/>
      <w:lvlText w:val=""/>
      <w:lvlJc w:val="left"/>
      <w:pPr>
        <w:ind w:left="5040" w:hanging="360"/>
      </w:pPr>
      <w:rPr>
        <w:rFonts w:ascii="Symbol" w:hAnsi="Symbol" w:hint="default"/>
      </w:rPr>
    </w:lvl>
    <w:lvl w:ilvl="7" w:tplc="67745818" w:tentative="1">
      <w:start w:val="1"/>
      <w:numFmt w:val="bullet"/>
      <w:lvlText w:val="o"/>
      <w:lvlJc w:val="left"/>
      <w:pPr>
        <w:ind w:left="5760" w:hanging="360"/>
      </w:pPr>
      <w:rPr>
        <w:rFonts w:ascii="Courier New" w:hAnsi="Courier New" w:cs="Courier New" w:hint="default"/>
      </w:rPr>
    </w:lvl>
    <w:lvl w:ilvl="8" w:tplc="F30E0F98" w:tentative="1">
      <w:start w:val="1"/>
      <w:numFmt w:val="bullet"/>
      <w:lvlText w:val=""/>
      <w:lvlJc w:val="left"/>
      <w:pPr>
        <w:ind w:left="6480" w:hanging="360"/>
      </w:pPr>
      <w:rPr>
        <w:rFonts w:ascii="Wingdings" w:hAnsi="Wingdings" w:hint="default"/>
      </w:rPr>
    </w:lvl>
  </w:abstractNum>
  <w:abstractNum w:abstractNumId="32" w15:restartNumberingAfterBreak="0">
    <w:nsid w:val="606838A5"/>
    <w:multiLevelType w:val="hybridMultilevel"/>
    <w:tmpl w:val="9ABEDF66"/>
    <w:lvl w:ilvl="0" w:tplc="7D7EE502">
      <w:start w:val="1"/>
      <w:numFmt w:val="bullet"/>
      <w:lvlText w:val=""/>
      <w:lvlJc w:val="left"/>
      <w:pPr>
        <w:tabs>
          <w:tab w:val="num" w:pos="720"/>
        </w:tabs>
        <w:ind w:left="720" w:hanging="360"/>
      </w:pPr>
      <w:rPr>
        <w:rFonts w:ascii="Symbol" w:hAnsi="Symbol" w:hint="default"/>
      </w:rPr>
    </w:lvl>
    <w:lvl w:ilvl="1" w:tplc="3300D3BC" w:tentative="1">
      <w:start w:val="1"/>
      <w:numFmt w:val="bullet"/>
      <w:lvlText w:val="o"/>
      <w:lvlJc w:val="left"/>
      <w:pPr>
        <w:tabs>
          <w:tab w:val="num" w:pos="1440"/>
        </w:tabs>
        <w:ind w:left="1440" w:hanging="360"/>
      </w:pPr>
      <w:rPr>
        <w:rFonts w:ascii="Courier New" w:hAnsi="Courier New" w:cs="Courier New" w:hint="default"/>
      </w:rPr>
    </w:lvl>
    <w:lvl w:ilvl="2" w:tplc="5DF4C972" w:tentative="1">
      <w:start w:val="1"/>
      <w:numFmt w:val="bullet"/>
      <w:lvlText w:val=""/>
      <w:lvlJc w:val="left"/>
      <w:pPr>
        <w:tabs>
          <w:tab w:val="num" w:pos="2160"/>
        </w:tabs>
        <w:ind w:left="2160" w:hanging="360"/>
      </w:pPr>
      <w:rPr>
        <w:rFonts w:ascii="Wingdings" w:hAnsi="Wingdings" w:hint="default"/>
      </w:rPr>
    </w:lvl>
    <w:lvl w:ilvl="3" w:tplc="D62E4490" w:tentative="1">
      <w:start w:val="1"/>
      <w:numFmt w:val="bullet"/>
      <w:lvlText w:val=""/>
      <w:lvlJc w:val="left"/>
      <w:pPr>
        <w:tabs>
          <w:tab w:val="num" w:pos="2880"/>
        </w:tabs>
        <w:ind w:left="2880" w:hanging="360"/>
      </w:pPr>
      <w:rPr>
        <w:rFonts w:ascii="Symbol" w:hAnsi="Symbol" w:hint="default"/>
      </w:rPr>
    </w:lvl>
    <w:lvl w:ilvl="4" w:tplc="B8B8F72C" w:tentative="1">
      <w:start w:val="1"/>
      <w:numFmt w:val="bullet"/>
      <w:lvlText w:val="o"/>
      <w:lvlJc w:val="left"/>
      <w:pPr>
        <w:tabs>
          <w:tab w:val="num" w:pos="3600"/>
        </w:tabs>
        <w:ind w:left="3600" w:hanging="360"/>
      </w:pPr>
      <w:rPr>
        <w:rFonts w:ascii="Courier New" w:hAnsi="Courier New" w:cs="Courier New" w:hint="default"/>
      </w:rPr>
    </w:lvl>
    <w:lvl w:ilvl="5" w:tplc="14B6E960" w:tentative="1">
      <w:start w:val="1"/>
      <w:numFmt w:val="bullet"/>
      <w:lvlText w:val=""/>
      <w:lvlJc w:val="left"/>
      <w:pPr>
        <w:tabs>
          <w:tab w:val="num" w:pos="4320"/>
        </w:tabs>
        <w:ind w:left="4320" w:hanging="360"/>
      </w:pPr>
      <w:rPr>
        <w:rFonts w:ascii="Wingdings" w:hAnsi="Wingdings" w:hint="default"/>
      </w:rPr>
    </w:lvl>
    <w:lvl w:ilvl="6" w:tplc="C04E2412" w:tentative="1">
      <w:start w:val="1"/>
      <w:numFmt w:val="bullet"/>
      <w:lvlText w:val=""/>
      <w:lvlJc w:val="left"/>
      <w:pPr>
        <w:tabs>
          <w:tab w:val="num" w:pos="5040"/>
        </w:tabs>
        <w:ind w:left="5040" w:hanging="360"/>
      </w:pPr>
      <w:rPr>
        <w:rFonts w:ascii="Symbol" w:hAnsi="Symbol" w:hint="default"/>
      </w:rPr>
    </w:lvl>
    <w:lvl w:ilvl="7" w:tplc="3E7EBC9E" w:tentative="1">
      <w:start w:val="1"/>
      <w:numFmt w:val="bullet"/>
      <w:lvlText w:val="o"/>
      <w:lvlJc w:val="left"/>
      <w:pPr>
        <w:tabs>
          <w:tab w:val="num" w:pos="5760"/>
        </w:tabs>
        <w:ind w:left="5760" w:hanging="360"/>
      </w:pPr>
      <w:rPr>
        <w:rFonts w:ascii="Courier New" w:hAnsi="Courier New" w:cs="Courier New" w:hint="default"/>
      </w:rPr>
    </w:lvl>
    <w:lvl w:ilvl="8" w:tplc="86525D5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787184"/>
    <w:multiLevelType w:val="multilevel"/>
    <w:tmpl w:val="DA429C0E"/>
    <w:name w:val="WDX-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850"/>
        </w:tabs>
        <w:ind w:left="850"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4" w15:restartNumberingAfterBreak="0">
    <w:nsid w:val="636C60C8"/>
    <w:multiLevelType w:val="multilevel"/>
    <w:tmpl w:val="CE728254"/>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Wingdings" w:hAnsi="Wingdings" w:hint="default"/>
        <w:color w:val="002C77" w:themeColor="text1"/>
      </w:rPr>
    </w:lvl>
    <w:lvl w:ilvl="5">
      <w:start w:val="1"/>
      <w:numFmt w:val="lowerRoman"/>
      <w:pStyle w:val="ListBullet2"/>
      <w:lvlText w:val="–"/>
      <w:lvlJc w:val="left"/>
      <w:pPr>
        <w:tabs>
          <w:tab w:val="num" w:pos="720"/>
        </w:tabs>
        <w:ind w:left="720" w:hanging="360"/>
      </w:pPr>
      <w:rPr>
        <w:rFonts w:ascii="Times NR" w:hAnsi="Times NR"/>
      </w:rPr>
    </w:lvl>
    <w:lvl w:ilvl="6">
      <w:start w:val="1"/>
      <w:numFmt w:val="decimal"/>
      <w:pStyle w:val="ListBullet3"/>
      <w:lvlText w:val=""/>
      <w:lvlJc w:val="left"/>
      <w:pPr>
        <w:tabs>
          <w:tab w:val="num" w:pos="1080"/>
        </w:tabs>
        <w:ind w:left="1080" w:hanging="360"/>
      </w:pPr>
      <w:rPr>
        <w:rFonts w:ascii="Wingdings" w:hAnsi="Wingdings" w:hint="default"/>
      </w:rPr>
    </w:lvl>
    <w:lvl w:ilvl="7">
      <w:start w:val="1"/>
      <w:numFmt w:val="lowerLetter"/>
      <w:pStyle w:val="List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35" w15:restartNumberingAfterBreak="0">
    <w:nsid w:val="64124F87"/>
    <w:multiLevelType w:val="hybridMultilevel"/>
    <w:tmpl w:val="F51CD0C2"/>
    <w:lvl w:ilvl="0" w:tplc="0500428E">
      <w:start w:val="1"/>
      <w:numFmt w:val="bullet"/>
      <w:pStyle w:val="Bullet2"/>
      <w:lvlText w:val=""/>
      <w:lvlJc w:val="left"/>
      <w:pPr>
        <w:ind w:left="648" w:hanging="360"/>
      </w:pPr>
      <w:rPr>
        <w:rFonts w:ascii="Symbol" w:hAnsi="Symbol" w:hint="default"/>
        <w:color w:val="7C848A"/>
      </w:rPr>
    </w:lvl>
    <w:lvl w:ilvl="1" w:tplc="8D600F66">
      <w:start w:val="1"/>
      <w:numFmt w:val="bullet"/>
      <w:lvlText w:val="o"/>
      <w:lvlJc w:val="left"/>
      <w:pPr>
        <w:ind w:left="2520" w:hanging="360"/>
      </w:pPr>
      <w:rPr>
        <w:rFonts w:ascii="Courier New" w:hAnsi="Courier New" w:cs="Courier New" w:hint="default"/>
      </w:rPr>
    </w:lvl>
    <w:lvl w:ilvl="2" w:tplc="F8848E76" w:tentative="1">
      <w:start w:val="1"/>
      <w:numFmt w:val="bullet"/>
      <w:lvlText w:val=""/>
      <w:lvlJc w:val="left"/>
      <w:pPr>
        <w:ind w:left="3240" w:hanging="360"/>
      </w:pPr>
      <w:rPr>
        <w:rFonts w:ascii="Wingdings" w:hAnsi="Wingdings" w:hint="default"/>
      </w:rPr>
    </w:lvl>
    <w:lvl w:ilvl="3" w:tplc="C362351C" w:tentative="1">
      <w:start w:val="1"/>
      <w:numFmt w:val="bullet"/>
      <w:lvlText w:val=""/>
      <w:lvlJc w:val="left"/>
      <w:pPr>
        <w:ind w:left="3960" w:hanging="360"/>
      </w:pPr>
      <w:rPr>
        <w:rFonts w:ascii="Symbol" w:hAnsi="Symbol" w:hint="default"/>
      </w:rPr>
    </w:lvl>
    <w:lvl w:ilvl="4" w:tplc="01C67548" w:tentative="1">
      <w:start w:val="1"/>
      <w:numFmt w:val="bullet"/>
      <w:lvlText w:val="o"/>
      <w:lvlJc w:val="left"/>
      <w:pPr>
        <w:ind w:left="4680" w:hanging="360"/>
      </w:pPr>
      <w:rPr>
        <w:rFonts w:ascii="Courier New" w:hAnsi="Courier New" w:cs="Courier New" w:hint="default"/>
      </w:rPr>
    </w:lvl>
    <w:lvl w:ilvl="5" w:tplc="ACCA5352" w:tentative="1">
      <w:start w:val="1"/>
      <w:numFmt w:val="bullet"/>
      <w:lvlText w:val=""/>
      <w:lvlJc w:val="left"/>
      <w:pPr>
        <w:ind w:left="5400" w:hanging="360"/>
      </w:pPr>
      <w:rPr>
        <w:rFonts w:ascii="Wingdings" w:hAnsi="Wingdings" w:hint="default"/>
      </w:rPr>
    </w:lvl>
    <w:lvl w:ilvl="6" w:tplc="C16AA42A" w:tentative="1">
      <w:start w:val="1"/>
      <w:numFmt w:val="bullet"/>
      <w:lvlText w:val=""/>
      <w:lvlJc w:val="left"/>
      <w:pPr>
        <w:ind w:left="6120" w:hanging="360"/>
      </w:pPr>
      <w:rPr>
        <w:rFonts w:ascii="Symbol" w:hAnsi="Symbol" w:hint="default"/>
      </w:rPr>
    </w:lvl>
    <w:lvl w:ilvl="7" w:tplc="882EBA0E" w:tentative="1">
      <w:start w:val="1"/>
      <w:numFmt w:val="bullet"/>
      <w:lvlText w:val="o"/>
      <w:lvlJc w:val="left"/>
      <w:pPr>
        <w:ind w:left="6840" w:hanging="360"/>
      </w:pPr>
      <w:rPr>
        <w:rFonts w:ascii="Courier New" w:hAnsi="Courier New" w:cs="Courier New" w:hint="default"/>
      </w:rPr>
    </w:lvl>
    <w:lvl w:ilvl="8" w:tplc="444C907C" w:tentative="1">
      <w:start w:val="1"/>
      <w:numFmt w:val="bullet"/>
      <w:lvlText w:val=""/>
      <w:lvlJc w:val="left"/>
      <w:pPr>
        <w:ind w:left="7560" w:hanging="360"/>
      </w:pPr>
      <w:rPr>
        <w:rFonts w:ascii="Wingdings" w:hAnsi="Wingdings" w:hint="default"/>
      </w:rPr>
    </w:lvl>
  </w:abstractNum>
  <w:abstractNum w:abstractNumId="36" w15:restartNumberingAfterBreak="0">
    <w:nsid w:val="696802BC"/>
    <w:multiLevelType w:val="hybridMultilevel"/>
    <w:tmpl w:val="2BD4F2AE"/>
    <w:lvl w:ilvl="0" w:tplc="80D60E2C">
      <w:start w:val="1"/>
      <w:numFmt w:val="lowerLetter"/>
      <w:pStyle w:val="Numbered2"/>
      <w:lvlText w:val="%1."/>
      <w:lvlJc w:val="left"/>
      <w:pPr>
        <w:ind w:left="648" w:hanging="360"/>
      </w:pPr>
      <w:rPr>
        <w:rFonts w:ascii="Arial" w:hAnsi="Arial" w:hint="default"/>
        <w:b w:val="0"/>
        <w:i w:val="0"/>
        <w:color w:val="7C848A"/>
        <w:sz w:val="22"/>
      </w:rPr>
    </w:lvl>
    <w:lvl w:ilvl="1" w:tplc="ECFAC90A" w:tentative="1">
      <w:start w:val="1"/>
      <w:numFmt w:val="lowerLetter"/>
      <w:lvlText w:val="%2."/>
      <w:lvlJc w:val="left"/>
      <w:pPr>
        <w:ind w:left="1728" w:hanging="360"/>
      </w:pPr>
    </w:lvl>
    <w:lvl w:ilvl="2" w:tplc="126AD9DE" w:tentative="1">
      <w:start w:val="1"/>
      <w:numFmt w:val="lowerRoman"/>
      <w:lvlText w:val="%3."/>
      <w:lvlJc w:val="right"/>
      <w:pPr>
        <w:ind w:left="2448" w:hanging="180"/>
      </w:pPr>
    </w:lvl>
    <w:lvl w:ilvl="3" w:tplc="9E547FBC" w:tentative="1">
      <w:start w:val="1"/>
      <w:numFmt w:val="decimal"/>
      <w:lvlText w:val="%4."/>
      <w:lvlJc w:val="left"/>
      <w:pPr>
        <w:ind w:left="3168" w:hanging="360"/>
      </w:pPr>
    </w:lvl>
    <w:lvl w:ilvl="4" w:tplc="D74878EE" w:tentative="1">
      <w:start w:val="1"/>
      <w:numFmt w:val="lowerLetter"/>
      <w:lvlText w:val="%5."/>
      <w:lvlJc w:val="left"/>
      <w:pPr>
        <w:ind w:left="3888" w:hanging="360"/>
      </w:pPr>
    </w:lvl>
    <w:lvl w:ilvl="5" w:tplc="B0147FEC" w:tentative="1">
      <w:start w:val="1"/>
      <w:numFmt w:val="lowerRoman"/>
      <w:lvlText w:val="%6."/>
      <w:lvlJc w:val="right"/>
      <w:pPr>
        <w:ind w:left="4608" w:hanging="180"/>
      </w:pPr>
    </w:lvl>
    <w:lvl w:ilvl="6" w:tplc="E8EE7CE2" w:tentative="1">
      <w:start w:val="1"/>
      <w:numFmt w:val="decimal"/>
      <w:lvlText w:val="%7."/>
      <w:lvlJc w:val="left"/>
      <w:pPr>
        <w:ind w:left="5328" w:hanging="360"/>
      </w:pPr>
    </w:lvl>
    <w:lvl w:ilvl="7" w:tplc="8A60027A" w:tentative="1">
      <w:start w:val="1"/>
      <w:numFmt w:val="lowerLetter"/>
      <w:lvlText w:val="%8."/>
      <w:lvlJc w:val="left"/>
      <w:pPr>
        <w:ind w:left="6048" w:hanging="360"/>
      </w:pPr>
    </w:lvl>
    <w:lvl w:ilvl="8" w:tplc="49EA1B86" w:tentative="1">
      <w:start w:val="1"/>
      <w:numFmt w:val="lowerRoman"/>
      <w:lvlText w:val="%9."/>
      <w:lvlJc w:val="right"/>
      <w:pPr>
        <w:ind w:left="6768" w:hanging="180"/>
      </w:pPr>
    </w:lvl>
  </w:abstractNum>
  <w:abstractNum w:abstractNumId="37" w15:restartNumberingAfterBreak="0">
    <w:nsid w:val="6A674874"/>
    <w:multiLevelType w:val="hybridMultilevel"/>
    <w:tmpl w:val="12F23D84"/>
    <w:lvl w:ilvl="0" w:tplc="AD90F9EA">
      <w:start w:val="1"/>
      <w:numFmt w:val="bullet"/>
      <w:pStyle w:val="TOC3"/>
      <w:lvlText w:val="─"/>
      <w:lvlJc w:val="left"/>
      <w:pPr>
        <w:ind w:left="1080" w:hanging="360"/>
      </w:pPr>
      <w:rPr>
        <w:rFonts w:ascii="Arial" w:hAnsi="Arial" w:hint="default"/>
        <w:color w:val="7C848A"/>
      </w:rPr>
    </w:lvl>
    <w:lvl w:ilvl="1" w:tplc="0B8426C4" w:tentative="1">
      <w:start w:val="1"/>
      <w:numFmt w:val="bullet"/>
      <w:lvlText w:val="o"/>
      <w:lvlJc w:val="left"/>
      <w:pPr>
        <w:ind w:left="2160" w:hanging="360"/>
      </w:pPr>
      <w:rPr>
        <w:rFonts w:ascii="Courier New" w:hAnsi="Courier New" w:cs="Courier New" w:hint="default"/>
      </w:rPr>
    </w:lvl>
    <w:lvl w:ilvl="2" w:tplc="B28E86E4" w:tentative="1">
      <w:start w:val="1"/>
      <w:numFmt w:val="bullet"/>
      <w:lvlText w:val=""/>
      <w:lvlJc w:val="left"/>
      <w:pPr>
        <w:ind w:left="2880" w:hanging="360"/>
      </w:pPr>
      <w:rPr>
        <w:rFonts w:ascii="Wingdings" w:hAnsi="Wingdings" w:hint="default"/>
      </w:rPr>
    </w:lvl>
    <w:lvl w:ilvl="3" w:tplc="634A8FA2" w:tentative="1">
      <w:start w:val="1"/>
      <w:numFmt w:val="bullet"/>
      <w:lvlText w:val=""/>
      <w:lvlJc w:val="left"/>
      <w:pPr>
        <w:ind w:left="3600" w:hanging="360"/>
      </w:pPr>
      <w:rPr>
        <w:rFonts w:ascii="Symbol" w:hAnsi="Symbol" w:hint="default"/>
      </w:rPr>
    </w:lvl>
    <w:lvl w:ilvl="4" w:tplc="E226605C" w:tentative="1">
      <w:start w:val="1"/>
      <w:numFmt w:val="bullet"/>
      <w:lvlText w:val="o"/>
      <w:lvlJc w:val="left"/>
      <w:pPr>
        <w:ind w:left="4320" w:hanging="360"/>
      </w:pPr>
      <w:rPr>
        <w:rFonts w:ascii="Courier New" w:hAnsi="Courier New" w:cs="Courier New" w:hint="default"/>
      </w:rPr>
    </w:lvl>
    <w:lvl w:ilvl="5" w:tplc="3E9C64F0" w:tentative="1">
      <w:start w:val="1"/>
      <w:numFmt w:val="bullet"/>
      <w:lvlText w:val=""/>
      <w:lvlJc w:val="left"/>
      <w:pPr>
        <w:ind w:left="5040" w:hanging="360"/>
      </w:pPr>
      <w:rPr>
        <w:rFonts w:ascii="Wingdings" w:hAnsi="Wingdings" w:hint="default"/>
      </w:rPr>
    </w:lvl>
    <w:lvl w:ilvl="6" w:tplc="D98A2B12" w:tentative="1">
      <w:start w:val="1"/>
      <w:numFmt w:val="bullet"/>
      <w:lvlText w:val=""/>
      <w:lvlJc w:val="left"/>
      <w:pPr>
        <w:ind w:left="5760" w:hanging="360"/>
      </w:pPr>
      <w:rPr>
        <w:rFonts w:ascii="Symbol" w:hAnsi="Symbol" w:hint="default"/>
      </w:rPr>
    </w:lvl>
    <w:lvl w:ilvl="7" w:tplc="97AAF644" w:tentative="1">
      <w:start w:val="1"/>
      <w:numFmt w:val="bullet"/>
      <w:lvlText w:val="o"/>
      <w:lvlJc w:val="left"/>
      <w:pPr>
        <w:ind w:left="6480" w:hanging="360"/>
      </w:pPr>
      <w:rPr>
        <w:rFonts w:ascii="Courier New" w:hAnsi="Courier New" w:cs="Courier New" w:hint="default"/>
      </w:rPr>
    </w:lvl>
    <w:lvl w:ilvl="8" w:tplc="45B4820C" w:tentative="1">
      <w:start w:val="1"/>
      <w:numFmt w:val="bullet"/>
      <w:lvlText w:val=""/>
      <w:lvlJc w:val="left"/>
      <w:pPr>
        <w:ind w:left="7200" w:hanging="360"/>
      </w:pPr>
      <w:rPr>
        <w:rFonts w:ascii="Wingdings" w:hAnsi="Wingdings" w:hint="default"/>
      </w:rPr>
    </w:lvl>
  </w:abstractNum>
  <w:abstractNum w:abstractNumId="38" w15:restartNumberingAfterBreak="0">
    <w:nsid w:val="6E062496"/>
    <w:multiLevelType w:val="hybridMultilevel"/>
    <w:tmpl w:val="A4A4BD54"/>
    <w:lvl w:ilvl="0" w:tplc="58923010">
      <w:start w:val="1"/>
      <w:numFmt w:val="lowerRoman"/>
      <w:lvlText w:val="%1."/>
      <w:lvlJc w:val="right"/>
      <w:pPr>
        <w:ind w:left="720" w:hanging="360"/>
      </w:pPr>
    </w:lvl>
    <w:lvl w:ilvl="1" w:tplc="564298FC">
      <w:start w:val="1"/>
      <w:numFmt w:val="lowerLetter"/>
      <w:lvlText w:val="%2."/>
      <w:lvlJc w:val="left"/>
      <w:pPr>
        <w:ind w:left="1440" w:hanging="360"/>
      </w:pPr>
    </w:lvl>
    <w:lvl w:ilvl="2" w:tplc="A15CF1F2" w:tentative="1">
      <w:start w:val="1"/>
      <w:numFmt w:val="lowerRoman"/>
      <w:lvlText w:val="%3."/>
      <w:lvlJc w:val="right"/>
      <w:pPr>
        <w:ind w:left="2160" w:hanging="180"/>
      </w:pPr>
    </w:lvl>
    <w:lvl w:ilvl="3" w:tplc="80F0F322" w:tentative="1">
      <w:start w:val="1"/>
      <w:numFmt w:val="decimal"/>
      <w:lvlText w:val="%4."/>
      <w:lvlJc w:val="left"/>
      <w:pPr>
        <w:ind w:left="2880" w:hanging="360"/>
      </w:pPr>
    </w:lvl>
    <w:lvl w:ilvl="4" w:tplc="0B1EB932" w:tentative="1">
      <w:start w:val="1"/>
      <w:numFmt w:val="lowerLetter"/>
      <w:lvlText w:val="%5."/>
      <w:lvlJc w:val="left"/>
      <w:pPr>
        <w:ind w:left="3600" w:hanging="360"/>
      </w:pPr>
    </w:lvl>
    <w:lvl w:ilvl="5" w:tplc="55224E18" w:tentative="1">
      <w:start w:val="1"/>
      <w:numFmt w:val="lowerRoman"/>
      <w:lvlText w:val="%6."/>
      <w:lvlJc w:val="right"/>
      <w:pPr>
        <w:ind w:left="4320" w:hanging="180"/>
      </w:pPr>
    </w:lvl>
    <w:lvl w:ilvl="6" w:tplc="5CEAEC70" w:tentative="1">
      <w:start w:val="1"/>
      <w:numFmt w:val="decimal"/>
      <w:lvlText w:val="%7."/>
      <w:lvlJc w:val="left"/>
      <w:pPr>
        <w:ind w:left="5040" w:hanging="360"/>
      </w:pPr>
    </w:lvl>
    <w:lvl w:ilvl="7" w:tplc="0B7AC5D8" w:tentative="1">
      <w:start w:val="1"/>
      <w:numFmt w:val="lowerLetter"/>
      <w:lvlText w:val="%8."/>
      <w:lvlJc w:val="left"/>
      <w:pPr>
        <w:ind w:left="5760" w:hanging="360"/>
      </w:pPr>
    </w:lvl>
    <w:lvl w:ilvl="8" w:tplc="748EE39E" w:tentative="1">
      <w:start w:val="1"/>
      <w:numFmt w:val="lowerRoman"/>
      <w:lvlText w:val="%9."/>
      <w:lvlJc w:val="right"/>
      <w:pPr>
        <w:ind w:left="6480" w:hanging="180"/>
      </w:pPr>
    </w:lvl>
  </w:abstractNum>
  <w:abstractNum w:abstractNumId="39" w15:restartNumberingAfterBreak="0">
    <w:nsid w:val="70E556D2"/>
    <w:multiLevelType w:val="hybridMultilevel"/>
    <w:tmpl w:val="E83C03E4"/>
    <w:lvl w:ilvl="0" w:tplc="F09AD226">
      <w:start w:val="1"/>
      <w:numFmt w:val="bullet"/>
      <w:lvlText w:val=""/>
      <w:lvlJc w:val="left"/>
      <w:pPr>
        <w:tabs>
          <w:tab w:val="num" w:pos="720"/>
        </w:tabs>
        <w:ind w:left="720" w:hanging="360"/>
      </w:pPr>
      <w:rPr>
        <w:rFonts w:ascii="Symbol" w:hAnsi="Symbol" w:hint="default"/>
      </w:rPr>
    </w:lvl>
    <w:lvl w:ilvl="1" w:tplc="AC0836D6" w:tentative="1">
      <w:start w:val="1"/>
      <w:numFmt w:val="bullet"/>
      <w:lvlText w:val="o"/>
      <w:lvlJc w:val="left"/>
      <w:pPr>
        <w:tabs>
          <w:tab w:val="num" w:pos="1440"/>
        </w:tabs>
        <w:ind w:left="1440" w:hanging="360"/>
      </w:pPr>
      <w:rPr>
        <w:rFonts w:ascii="Courier New" w:hAnsi="Courier New" w:cs="Courier New" w:hint="default"/>
      </w:rPr>
    </w:lvl>
    <w:lvl w:ilvl="2" w:tplc="20664CDA" w:tentative="1">
      <w:start w:val="1"/>
      <w:numFmt w:val="bullet"/>
      <w:lvlText w:val=""/>
      <w:lvlJc w:val="left"/>
      <w:pPr>
        <w:tabs>
          <w:tab w:val="num" w:pos="2160"/>
        </w:tabs>
        <w:ind w:left="2160" w:hanging="360"/>
      </w:pPr>
      <w:rPr>
        <w:rFonts w:ascii="Wingdings" w:hAnsi="Wingdings" w:hint="default"/>
      </w:rPr>
    </w:lvl>
    <w:lvl w:ilvl="3" w:tplc="B6D46D46" w:tentative="1">
      <w:start w:val="1"/>
      <w:numFmt w:val="bullet"/>
      <w:lvlText w:val=""/>
      <w:lvlJc w:val="left"/>
      <w:pPr>
        <w:tabs>
          <w:tab w:val="num" w:pos="2880"/>
        </w:tabs>
        <w:ind w:left="2880" w:hanging="360"/>
      </w:pPr>
      <w:rPr>
        <w:rFonts w:ascii="Symbol" w:hAnsi="Symbol" w:hint="default"/>
      </w:rPr>
    </w:lvl>
    <w:lvl w:ilvl="4" w:tplc="8550C0AE" w:tentative="1">
      <w:start w:val="1"/>
      <w:numFmt w:val="bullet"/>
      <w:lvlText w:val="o"/>
      <w:lvlJc w:val="left"/>
      <w:pPr>
        <w:tabs>
          <w:tab w:val="num" w:pos="3600"/>
        </w:tabs>
        <w:ind w:left="3600" w:hanging="360"/>
      </w:pPr>
      <w:rPr>
        <w:rFonts w:ascii="Courier New" w:hAnsi="Courier New" w:cs="Courier New" w:hint="default"/>
      </w:rPr>
    </w:lvl>
    <w:lvl w:ilvl="5" w:tplc="8D12586C" w:tentative="1">
      <w:start w:val="1"/>
      <w:numFmt w:val="bullet"/>
      <w:lvlText w:val=""/>
      <w:lvlJc w:val="left"/>
      <w:pPr>
        <w:tabs>
          <w:tab w:val="num" w:pos="4320"/>
        </w:tabs>
        <w:ind w:left="4320" w:hanging="360"/>
      </w:pPr>
      <w:rPr>
        <w:rFonts w:ascii="Wingdings" w:hAnsi="Wingdings" w:hint="default"/>
      </w:rPr>
    </w:lvl>
    <w:lvl w:ilvl="6" w:tplc="BAE20296" w:tentative="1">
      <w:start w:val="1"/>
      <w:numFmt w:val="bullet"/>
      <w:lvlText w:val=""/>
      <w:lvlJc w:val="left"/>
      <w:pPr>
        <w:tabs>
          <w:tab w:val="num" w:pos="5040"/>
        </w:tabs>
        <w:ind w:left="5040" w:hanging="360"/>
      </w:pPr>
      <w:rPr>
        <w:rFonts w:ascii="Symbol" w:hAnsi="Symbol" w:hint="default"/>
      </w:rPr>
    </w:lvl>
    <w:lvl w:ilvl="7" w:tplc="B4C0B9FC" w:tentative="1">
      <w:start w:val="1"/>
      <w:numFmt w:val="bullet"/>
      <w:lvlText w:val="o"/>
      <w:lvlJc w:val="left"/>
      <w:pPr>
        <w:tabs>
          <w:tab w:val="num" w:pos="5760"/>
        </w:tabs>
        <w:ind w:left="5760" w:hanging="360"/>
      </w:pPr>
      <w:rPr>
        <w:rFonts w:ascii="Courier New" w:hAnsi="Courier New" w:cs="Courier New" w:hint="default"/>
      </w:rPr>
    </w:lvl>
    <w:lvl w:ilvl="8" w:tplc="B01EE34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DA6FE9"/>
    <w:multiLevelType w:val="hybridMultilevel"/>
    <w:tmpl w:val="EC227D8A"/>
    <w:lvl w:ilvl="0" w:tplc="8D6C107A">
      <w:start w:val="1"/>
      <w:numFmt w:val="bullet"/>
      <w:pStyle w:val="Bullet3"/>
      <w:lvlText w:val="&gt;"/>
      <w:lvlJc w:val="left"/>
      <w:pPr>
        <w:ind w:left="1152" w:hanging="360"/>
      </w:pPr>
      <w:rPr>
        <w:rFonts w:ascii="Arial" w:hAnsi="Arial" w:hint="default"/>
        <w:color w:val="7C848A"/>
      </w:rPr>
    </w:lvl>
    <w:lvl w:ilvl="1" w:tplc="84703478" w:tentative="1">
      <w:start w:val="1"/>
      <w:numFmt w:val="bullet"/>
      <w:lvlText w:val="o"/>
      <w:lvlJc w:val="left"/>
      <w:pPr>
        <w:ind w:left="1872" w:hanging="360"/>
      </w:pPr>
      <w:rPr>
        <w:rFonts w:ascii="Courier New" w:hAnsi="Courier New" w:cs="Courier New" w:hint="default"/>
      </w:rPr>
    </w:lvl>
    <w:lvl w:ilvl="2" w:tplc="3A6C91BA" w:tentative="1">
      <w:start w:val="1"/>
      <w:numFmt w:val="bullet"/>
      <w:lvlText w:val=""/>
      <w:lvlJc w:val="left"/>
      <w:pPr>
        <w:ind w:left="2592" w:hanging="360"/>
      </w:pPr>
      <w:rPr>
        <w:rFonts w:ascii="Wingdings" w:hAnsi="Wingdings" w:hint="default"/>
      </w:rPr>
    </w:lvl>
    <w:lvl w:ilvl="3" w:tplc="FB72FAE4" w:tentative="1">
      <w:start w:val="1"/>
      <w:numFmt w:val="bullet"/>
      <w:lvlText w:val=""/>
      <w:lvlJc w:val="left"/>
      <w:pPr>
        <w:ind w:left="3312" w:hanging="360"/>
      </w:pPr>
      <w:rPr>
        <w:rFonts w:ascii="Symbol" w:hAnsi="Symbol" w:hint="default"/>
      </w:rPr>
    </w:lvl>
    <w:lvl w:ilvl="4" w:tplc="960A99A6" w:tentative="1">
      <w:start w:val="1"/>
      <w:numFmt w:val="bullet"/>
      <w:lvlText w:val="o"/>
      <w:lvlJc w:val="left"/>
      <w:pPr>
        <w:ind w:left="4032" w:hanging="360"/>
      </w:pPr>
      <w:rPr>
        <w:rFonts w:ascii="Courier New" w:hAnsi="Courier New" w:cs="Courier New" w:hint="default"/>
      </w:rPr>
    </w:lvl>
    <w:lvl w:ilvl="5" w:tplc="1282497E" w:tentative="1">
      <w:start w:val="1"/>
      <w:numFmt w:val="bullet"/>
      <w:lvlText w:val=""/>
      <w:lvlJc w:val="left"/>
      <w:pPr>
        <w:ind w:left="4752" w:hanging="360"/>
      </w:pPr>
      <w:rPr>
        <w:rFonts w:ascii="Wingdings" w:hAnsi="Wingdings" w:hint="default"/>
      </w:rPr>
    </w:lvl>
    <w:lvl w:ilvl="6" w:tplc="C01682A0" w:tentative="1">
      <w:start w:val="1"/>
      <w:numFmt w:val="bullet"/>
      <w:lvlText w:val=""/>
      <w:lvlJc w:val="left"/>
      <w:pPr>
        <w:ind w:left="5472" w:hanging="360"/>
      </w:pPr>
      <w:rPr>
        <w:rFonts w:ascii="Symbol" w:hAnsi="Symbol" w:hint="default"/>
      </w:rPr>
    </w:lvl>
    <w:lvl w:ilvl="7" w:tplc="B50AD372" w:tentative="1">
      <w:start w:val="1"/>
      <w:numFmt w:val="bullet"/>
      <w:lvlText w:val="o"/>
      <w:lvlJc w:val="left"/>
      <w:pPr>
        <w:ind w:left="6192" w:hanging="360"/>
      </w:pPr>
      <w:rPr>
        <w:rFonts w:ascii="Courier New" w:hAnsi="Courier New" w:cs="Courier New" w:hint="default"/>
      </w:rPr>
    </w:lvl>
    <w:lvl w:ilvl="8" w:tplc="40D831BA" w:tentative="1">
      <w:start w:val="1"/>
      <w:numFmt w:val="bullet"/>
      <w:lvlText w:val=""/>
      <w:lvlJc w:val="left"/>
      <w:pPr>
        <w:ind w:left="6912" w:hanging="360"/>
      </w:pPr>
      <w:rPr>
        <w:rFonts w:ascii="Wingdings" w:hAnsi="Wingdings" w:hint="default"/>
      </w:rPr>
    </w:lvl>
  </w:abstractNum>
  <w:abstractNum w:abstractNumId="41" w15:restartNumberingAfterBreak="0">
    <w:nsid w:val="75BD22B5"/>
    <w:multiLevelType w:val="hybridMultilevel"/>
    <w:tmpl w:val="360CEB18"/>
    <w:lvl w:ilvl="0" w:tplc="D65C0A26">
      <w:start w:val="2"/>
      <w:numFmt w:val="bullet"/>
      <w:lvlText w:val="-"/>
      <w:lvlJc w:val="left"/>
      <w:pPr>
        <w:ind w:left="720" w:hanging="360"/>
      </w:pPr>
      <w:rPr>
        <w:rFonts w:ascii="Arial" w:eastAsia="Times New Roman" w:hAnsi="Arial" w:cs="Arial" w:hint="default"/>
      </w:rPr>
    </w:lvl>
    <w:lvl w:ilvl="1" w:tplc="B2609A7A" w:tentative="1">
      <w:start w:val="1"/>
      <w:numFmt w:val="bullet"/>
      <w:lvlText w:val="o"/>
      <w:lvlJc w:val="left"/>
      <w:pPr>
        <w:ind w:left="1440" w:hanging="360"/>
      </w:pPr>
      <w:rPr>
        <w:rFonts w:ascii="Courier New" w:hAnsi="Courier New" w:cs="Courier New" w:hint="default"/>
      </w:rPr>
    </w:lvl>
    <w:lvl w:ilvl="2" w:tplc="E2A09890" w:tentative="1">
      <w:start w:val="1"/>
      <w:numFmt w:val="bullet"/>
      <w:lvlText w:val=""/>
      <w:lvlJc w:val="left"/>
      <w:pPr>
        <w:ind w:left="2160" w:hanging="360"/>
      </w:pPr>
      <w:rPr>
        <w:rFonts w:ascii="Wingdings" w:hAnsi="Wingdings" w:hint="default"/>
      </w:rPr>
    </w:lvl>
    <w:lvl w:ilvl="3" w:tplc="7590B266" w:tentative="1">
      <w:start w:val="1"/>
      <w:numFmt w:val="bullet"/>
      <w:lvlText w:val=""/>
      <w:lvlJc w:val="left"/>
      <w:pPr>
        <w:ind w:left="2880" w:hanging="360"/>
      </w:pPr>
      <w:rPr>
        <w:rFonts w:ascii="Symbol" w:hAnsi="Symbol" w:hint="default"/>
      </w:rPr>
    </w:lvl>
    <w:lvl w:ilvl="4" w:tplc="6A744FD6" w:tentative="1">
      <w:start w:val="1"/>
      <w:numFmt w:val="bullet"/>
      <w:lvlText w:val="o"/>
      <w:lvlJc w:val="left"/>
      <w:pPr>
        <w:ind w:left="3600" w:hanging="360"/>
      </w:pPr>
      <w:rPr>
        <w:rFonts w:ascii="Courier New" w:hAnsi="Courier New" w:cs="Courier New" w:hint="default"/>
      </w:rPr>
    </w:lvl>
    <w:lvl w:ilvl="5" w:tplc="5DAE33CE" w:tentative="1">
      <w:start w:val="1"/>
      <w:numFmt w:val="bullet"/>
      <w:lvlText w:val=""/>
      <w:lvlJc w:val="left"/>
      <w:pPr>
        <w:ind w:left="4320" w:hanging="360"/>
      </w:pPr>
      <w:rPr>
        <w:rFonts w:ascii="Wingdings" w:hAnsi="Wingdings" w:hint="default"/>
      </w:rPr>
    </w:lvl>
    <w:lvl w:ilvl="6" w:tplc="D8BE75FE" w:tentative="1">
      <w:start w:val="1"/>
      <w:numFmt w:val="bullet"/>
      <w:lvlText w:val=""/>
      <w:lvlJc w:val="left"/>
      <w:pPr>
        <w:ind w:left="5040" w:hanging="360"/>
      </w:pPr>
      <w:rPr>
        <w:rFonts w:ascii="Symbol" w:hAnsi="Symbol" w:hint="default"/>
      </w:rPr>
    </w:lvl>
    <w:lvl w:ilvl="7" w:tplc="FA8C6F6E" w:tentative="1">
      <w:start w:val="1"/>
      <w:numFmt w:val="bullet"/>
      <w:lvlText w:val="o"/>
      <w:lvlJc w:val="left"/>
      <w:pPr>
        <w:ind w:left="5760" w:hanging="360"/>
      </w:pPr>
      <w:rPr>
        <w:rFonts w:ascii="Courier New" w:hAnsi="Courier New" w:cs="Courier New" w:hint="default"/>
      </w:rPr>
    </w:lvl>
    <w:lvl w:ilvl="8" w:tplc="4A5E77EC" w:tentative="1">
      <w:start w:val="1"/>
      <w:numFmt w:val="bullet"/>
      <w:lvlText w:val=""/>
      <w:lvlJc w:val="left"/>
      <w:pPr>
        <w:ind w:left="6480" w:hanging="360"/>
      </w:pPr>
      <w:rPr>
        <w:rFonts w:ascii="Wingdings" w:hAnsi="Wingdings" w:hint="default"/>
      </w:rPr>
    </w:lvl>
  </w:abstractNum>
  <w:abstractNum w:abstractNumId="42" w15:restartNumberingAfterBreak="0">
    <w:nsid w:val="75BF0404"/>
    <w:multiLevelType w:val="hybridMultilevel"/>
    <w:tmpl w:val="8D3CBAC8"/>
    <w:lvl w:ilvl="0" w:tplc="C352A84C">
      <w:start w:val="1"/>
      <w:numFmt w:val="lowerLetter"/>
      <w:lvlText w:val="%1."/>
      <w:lvlJc w:val="left"/>
      <w:pPr>
        <w:ind w:left="360" w:hanging="360"/>
      </w:pPr>
      <w:rPr>
        <w:rFonts w:hint="default"/>
      </w:rPr>
    </w:lvl>
    <w:lvl w:ilvl="1" w:tplc="0D1EAD52" w:tentative="1">
      <w:start w:val="1"/>
      <w:numFmt w:val="lowerLetter"/>
      <w:lvlText w:val="%2."/>
      <w:lvlJc w:val="left"/>
      <w:pPr>
        <w:ind w:left="1080" w:hanging="360"/>
      </w:pPr>
    </w:lvl>
    <w:lvl w:ilvl="2" w:tplc="BEE61D38" w:tentative="1">
      <w:start w:val="1"/>
      <w:numFmt w:val="lowerRoman"/>
      <w:lvlText w:val="%3."/>
      <w:lvlJc w:val="right"/>
      <w:pPr>
        <w:ind w:left="1800" w:hanging="180"/>
      </w:pPr>
    </w:lvl>
    <w:lvl w:ilvl="3" w:tplc="603AF4F4" w:tentative="1">
      <w:start w:val="1"/>
      <w:numFmt w:val="decimal"/>
      <w:lvlText w:val="%4."/>
      <w:lvlJc w:val="left"/>
      <w:pPr>
        <w:ind w:left="2520" w:hanging="360"/>
      </w:pPr>
    </w:lvl>
    <w:lvl w:ilvl="4" w:tplc="B4B895BE" w:tentative="1">
      <w:start w:val="1"/>
      <w:numFmt w:val="lowerLetter"/>
      <w:lvlText w:val="%5."/>
      <w:lvlJc w:val="left"/>
      <w:pPr>
        <w:ind w:left="3240" w:hanging="360"/>
      </w:pPr>
    </w:lvl>
    <w:lvl w:ilvl="5" w:tplc="2AB49D86" w:tentative="1">
      <w:start w:val="1"/>
      <w:numFmt w:val="lowerRoman"/>
      <w:lvlText w:val="%6."/>
      <w:lvlJc w:val="right"/>
      <w:pPr>
        <w:ind w:left="3960" w:hanging="180"/>
      </w:pPr>
    </w:lvl>
    <w:lvl w:ilvl="6" w:tplc="CB449636" w:tentative="1">
      <w:start w:val="1"/>
      <w:numFmt w:val="decimal"/>
      <w:lvlText w:val="%7."/>
      <w:lvlJc w:val="left"/>
      <w:pPr>
        <w:ind w:left="4680" w:hanging="360"/>
      </w:pPr>
    </w:lvl>
    <w:lvl w:ilvl="7" w:tplc="4572BCB4" w:tentative="1">
      <w:start w:val="1"/>
      <w:numFmt w:val="lowerLetter"/>
      <w:lvlText w:val="%8."/>
      <w:lvlJc w:val="left"/>
      <w:pPr>
        <w:ind w:left="5400" w:hanging="360"/>
      </w:pPr>
    </w:lvl>
    <w:lvl w:ilvl="8" w:tplc="E25C93D6" w:tentative="1">
      <w:start w:val="1"/>
      <w:numFmt w:val="lowerRoman"/>
      <w:lvlText w:val="%9."/>
      <w:lvlJc w:val="right"/>
      <w:pPr>
        <w:ind w:left="6120" w:hanging="180"/>
      </w:pPr>
    </w:lvl>
  </w:abstractNum>
  <w:abstractNum w:abstractNumId="43" w15:restartNumberingAfterBreak="0">
    <w:nsid w:val="78B22574"/>
    <w:multiLevelType w:val="hybridMultilevel"/>
    <w:tmpl w:val="229C22DA"/>
    <w:lvl w:ilvl="0" w:tplc="FD08AEA8">
      <w:start w:val="1"/>
      <w:numFmt w:val="decimal"/>
      <w:lvlText w:val="%1."/>
      <w:lvlJc w:val="left"/>
      <w:pPr>
        <w:ind w:left="360" w:hanging="360"/>
      </w:pPr>
      <w:rPr>
        <w:rFonts w:hint="default"/>
      </w:rPr>
    </w:lvl>
    <w:lvl w:ilvl="1" w:tplc="11C04180" w:tentative="1">
      <w:start w:val="1"/>
      <w:numFmt w:val="lowerLetter"/>
      <w:lvlText w:val="%2."/>
      <w:lvlJc w:val="left"/>
      <w:pPr>
        <w:ind w:left="1080" w:hanging="360"/>
      </w:pPr>
    </w:lvl>
    <w:lvl w:ilvl="2" w:tplc="47EC8FFC" w:tentative="1">
      <w:start w:val="1"/>
      <w:numFmt w:val="lowerRoman"/>
      <w:lvlText w:val="%3."/>
      <w:lvlJc w:val="right"/>
      <w:pPr>
        <w:ind w:left="1800" w:hanging="180"/>
      </w:pPr>
    </w:lvl>
    <w:lvl w:ilvl="3" w:tplc="3EFEEAFA" w:tentative="1">
      <w:start w:val="1"/>
      <w:numFmt w:val="decimal"/>
      <w:lvlText w:val="%4."/>
      <w:lvlJc w:val="left"/>
      <w:pPr>
        <w:ind w:left="2520" w:hanging="360"/>
      </w:pPr>
    </w:lvl>
    <w:lvl w:ilvl="4" w:tplc="F68C20F2" w:tentative="1">
      <w:start w:val="1"/>
      <w:numFmt w:val="lowerLetter"/>
      <w:lvlText w:val="%5."/>
      <w:lvlJc w:val="left"/>
      <w:pPr>
        <w:ind w:left="3240" w:hanging="360"/>
      </w:pPr>
    </w:lvl>
    <w:lvl w:ilvl="5" w:tplc="25D6EA9A" w:tentative="1">
      <w:start w:val="1"/>
      <w:numFmt w:val="lowerRoman"/>
      <w:lvlText w:val="%6."/>
      <w:lvlJc w:val="right"/>
      <w:pPr>
        <w:ind w:left="3960" w:hanging="180"/>
      </w:pPr>
    </w:lvl>
    <w:lvl w:ilvl="6" w:tplc="D7183634" w:tentative="1">
      <w:start w:val="1"/>
      <w:numFmt w:val="decimal"/>
      <w:lvlText w:val="%7."/>
      <w:lvlJc w:val="left"/>
      <w:pPr>
        <w:ind w:left="4680" w:hanging="360"/>
      </w:pPr>
    </w:lvl>
    <w:lvl w:ilvl="7" w:tplc="F5B0124A" w:tentative="1">
      <w:start w:val="1"/>
      <w:numFmt w:val="lowerLetter"/>
      <w:lvlText w:val="%8."/>
      <w:lvlJc w:val="left"/>
      <w:pPr>
        <w:ind w:left="5400" w:hanging="360"/>
      </w:pPr>
    </w:lvl>
    <w:lvl w:ilvl="8" w:tplc="216A5010" w:tentative="1">
      <w:start w:val="1"/>
      <w:numFmt w:val="lowerRoman"/>
      <w:lvlText w:val="%9."/>
      <w:lvlJc w:val="right"/>
      <w:pPr>
        <w:ind w:left="6120" w:hanging="180"/>
      </w:pPr>
    </w:lvl>
  </w:abstractNum>
  <w:abstractNum w:abstractNumId="44" w15:restartNumberingAfterBreak="0">
    <w:nsid w:val="7A0035B4"/>
    <w:multiLevelType w:val="hybridMultilevel"/>
    <w:tmpl w:val="DA465962"/>
    <w:lvl w:ilvl="0" w:tplc="CC80FE66">
      <w:start w:val="1"/>
      <w:numFmt w:val="decimal"/>
      <w:pStyle w:val="Numbered1"/>
      <w:lvlText w:val="%1."/>
      <w:lvlJc w:val="left"/>
      <w:pPr>
        <w:ind w:left="720" w:hanging="360"/>
      </w:pPr>
      <w:rPr>
        <w:rFonts w:ascii="Arial" w:hAnsi="Arial" w:hint="default"/>
        <w:b w:val="0"/>
        <w:i w:val="0"/>
        <w:color w:val="6D6E70"/>
        <w:sz w:val="22"/>
      </w:rPr>
    </w:lvl>
    <w:lvl w:ilvl="1" w:tplc="47F02D8C" w:tentative="1">
      <w:start w:val="1"/>
      <w:numFmt w:val="lowerLetter"/>
      <w:lvlText w:val="%2."/>
      <w:lvlJc w:val="left"/>
      <w:pPr>
        <w:ind w:left="1440" w:hanging="360"/>
      </w:pPr>
    </w:lvl>
    <w:lvl w:ilvl="2" w:tplc="CD5E3748" w:tentative="1">
      <w:start w:val="1"/>
      <w:numFmt w:val="lowerRoman"/>
      <w:lvlText w:val="%3."/>
      <w:lvlJc w:val="right"/>
      <w:pPr>
        <w:ind w:left="2160" w:hanging="180"/>
      </w:pPr>
    </w:lvl>
    <w:lvl w:ilvl="3" w:tplc="112067BE" w:tentative="1">
      <w:start w:val="1"/>
      <w:numFmt w:val="decimal"/>
      <w:lvlText w:val="%4."/>
      <w:lvlJc w:val="left"/>
      <w:pPr>
        <w:ind w:left="2880" w:hanging="360"/>
      </w:pPr>
    </w:lvl>
    <w:lvl w:ilvl="4" w:tplc="71E86CFA" w:tentative="1">
      <w:start w:val="1"/>
      <w:numFmt w:val="lowerLetter"/>
      <w:lvlText w:val="%5."/>
      <w:lvlJc w:val="left"/>
      <w:pPr>
        <w:ind w:left="3600" w:hanging="360"/>
      </w:pPr>
    </w:lvl>
    <w:lvl w:ilvl="5" w:tplc="1C40155C" w:tentative="1">
      <w:start w:val="1"/>
      <w:numFmt w:val="lowerRoman"/>
      <w:lvlText w:val="%6."/>
      <w:lvlJc w:val="right"/>
      <w:pPr>
        <w:ind w:left="4320" w:hanging="180"/>
      </w:pPr>
    </w:lvl>
    <w:lvl w:ilvl="6" w:tplc="CC22D8CE" w:tentative="1">
      <w:start w:val="1"/>
      <w:numFmt w:val="decimal"/>
      <w:lvlText w:val="%7."/>
      <w:lvlJc w:val="left"/>
      <w:pPr>
        <w:ind w:left="5040" w:hanging="360"/>
      </w:pPr>
    </w:lvl>
    <w:lvl w:ilvl="7" w:tplc="132827E2" w:tentative="1">
      <w:start w:val="1"/>
      <w:numFmt w:val="lowerLetter"/>
      <w:lvlText w:val="%8."/>
      <w:lvlJc w:val="left"/>
      <w:pPr>
        <w:ind w:left="5760" w:hanging="360"/>
      </w:pPr>
    </w:lvl>
    <w:lvl w:ilvl="8" w:tplc="6E3452A8" w:tentative="1">
      <w:start w:val="1"/>
      <w:numFmt w:val="lowerRoman"/>
      <w:lvlText w:val="%9."/>
      <w:lvlJc w:val="right"/>
      <w:pPr>
        <w:ind w:left="6480" w:hanging="180"/>
      </w:pPr>
    </w:lvl>
  </w:abstractNum>
  <w:abstractNum w:abstractNumId="45" w15:restartNumberingAfterBreak="0">
    <w:nsid w:val="7F397F53"/>
    <w:multiLevelType w:val="hybridMultilevel"/>
    <w:tmpl w:val="A808DD4C"/>
    <w:lvl w:ilvl="0" w:tplc="A994261A">
      <w:start w:val="1"/>
      <w:numFmt w:val="bullet"/>
      <w:lvlText w:val=""/>
      <w:lvlJc w:val="left"/>
      <w:pPr>
        <w:ind w:left="720" w:hanging="360"/>
      </w:pPr>
      <w:rPr>
        <w:rFonts w:ascii="Symbol" w:hAnsi="Symbol" w:hint="default"/>
      </w:rPr>
    </w:lvl>
    <w:lvl w:ilvl="1" w:tplc="29C6E4F0" w:tentative="1">
      <w:start w:val="1"/>
      <w:numFmt w:val="bullet"/>
      <w:lvlText w:val="o"/>
      <w:lvlJc w:val="left"/>
      <w:pPr>
        <w:ind w:left="1440" w:hanging="360"/>
      </w:pPr>
      <w:rPr>
        <w:rFonts w:ascii="Courier New" w:hAnsi="Courier New" w:cs="Courier New" w:hint="default"/>
      </w:rPr>
    </w:lvl>
    <w:lvl w:ilvl="2" w:tplc="6D44522E" w:tentative="1">
      <w:start w:val="1"/>
      <w:numFmt w:val="bullet"/>
      <w:lvlText w:val=""/>
      <w:lvlJc w:val="left"/>
      <w:pPr>
        <w:ind w:left="2160" w:hanging="360"/>
      </w:pPr>
      <w:rPr>
        <w:rFonts w:ascii="Wingdings" w:hAnsi="Wingdings" w:hint="default"/>
      </w:rPr>
    </w:lvl>
    <w:lvl w:ilvl="3" w:tplc="03D0A09E" w:tentative="1">
      <w:start w:val="1"/>
      <w:numFmt w:val="bullet"/>
      <w:lvlText w:val=""/>
      <w:lvlJc w:val="left"/>
      <w:pPr>
        <w:ind w:left="2880" w:hanging="360"/>
      </w:pPr>
      <w:rPr>
        <w:rFonts w:ascii="Symbol" w:hAnsi="Symbol" w:hint="default"/>
      </w:rPr>
    </w:lvl>
    <w:lvl w:ilvl="4" w:tplc="57167C68" w:tentative="1">
      <w:start w:val="1"/>
      <w:numFmt w:val="bullet"/>
      <w:lvlText w:val="o"/>
      <w:lvlJc w:val="left"/>
      <w:pPr>
        <w:ind w:left="3600" w:hanging="360"/>
      </w:pPr>
      <w:rPr>
        <w:rFonts w:ascii="Courier New" w:hAnsi="Courier New" w:cs="Courier New" w:hint="default"/>
      </w:rPr>
    </w:lvl>
    <w:lvl w:ilvl="5" w:tplc="2558F21A" w:tentative="1">
      <w:start w:val="1"/>
      <w:numFmt w:val="bullet"/>
      <w:lvlText w:val=""/>
      <w:lvlJc w:val="left"/>
      <w:pPr>
        <w:ind w:left="4320" w:hanging="360"/>
      </w:pPr>
      <w:rPr>
        <w:rFonts w:ascii="Wingdings" w:hAnsi="Wingdings" w:hint="default"/>
      </w:rPr>
    </w:lvl>
    <w:lvl w:ilvl="6" w:tplc="797894E0" w:tentative="1">
      <w:start w:val="1"/>
      <w:numFmt w:val="bullet"/>
      <w:lvlText w:val=""/>
      <w:lvlJc w:val="left"/>
      <w:pPr>
        <w:ind w:left="5040" w:hanging="360"/>
      </w:pPr>
      <w:rPr>
        <w:rFonts w:ascii="Symbol" w:hAnsi="Symbol" w:hint="default"/>
      </w:rPr>
    </w:lvl>
    <w:lvl w:ilvl="7" w:tplc="F06E5F18" w:tentative="1">
      <w:start w:val="1"/>
      <w:numFmt w:val="bullet"/>
      <w:lvlText w:val="o"/>
      <w:lvlJc w:val="left"/>
      <w:pPr>
        <w:ind w:left="5760" w:hanging="360"/>
      </w:pPr>
      <w:rPr>
        <w:rFonts w:ascii="Courier New" w:hAnsi="Courier New" w:cs="Courier New" w:hint="default"/>
      </w:rPr>
    </w:lvl>
    <w:lvl w:ilvl="8" w:tplc="A740F408"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40"/>
  </w:num>
  <w:num w:numId="4">
    <w:abstractNumId w:val="6"/>
  </w:num>
  <w:num w:numId="5">
    <w:abstractNumId w:val="37"/>
  </w:num>
  <w:num w:numId="6">
    <w:abstractNumId w:val="16"/>
  </w:num>
  <w:num w:numId="7">
    <w:abstractNumId w:val="44"/>
  </w:num>
  <w:num w:numId="8">
    <w:abstractNumId w:val="36"/>
  </w:num>
  <w:num w:numId="9">
    <w:abstractNumId w:val="19"/>
  </w:num>
  <w:num w:numId="10">
    <w:abstractNumId w:val="26"/>
  </w:num>
  <w:num w:numId="11">
    <w:abstractNumId w:val="30"/>
  </w:num>
  <w:num w:numId="12">
    <w:abstractNumId w:val="39"/>
  </w:num>
  <w:num w:numId="13">
    <w:abstractNumId w:val="17"/>
  </w:num>
  <w:num w:numId="14">
    <w:abstractNumId w:val="32"/>
  </w:num>
  <w:num w:numId="15">
    <w:abstractNumId w:val="4"/>
  </w:num>
  <w:num w:numId="16">
    <w:abstractNumId w:val="15"/>
  </w:num>
  <w:num w:numId="17">
    <w:abstractNumId w:val="27"/>
  </w:num>
  <w:num w:numId="18">
    <w:abstractNumId w:val="34"/>
  </w:num>
  <w:num w:numId="19">
    <w:abstractNumId w:val="38"/>
  </w:num>
  <w:num w:numId="20">
    <w:abstractNumId w:val="13"/>
  </w:num>
  <w:num w:numId="21">
    <w:abstractNumId w:val="21"/>
  </w:num>
  <w:num w:numId="22">
    <w:abstractNumId w:val="42"/>
  </w:num>
  <w:num w:numId="23">
    <w:abstractNumId w:val="9"/>
  </w:num>
  <w:num w:numId="24">
    <w:abstractNumId w:val="29"/>
  </w:num>
  <w:num w:numId="25">
    <w:abstractNumId w:val="24"/>
  </w:num>
  <w:num w:numId="26">
    <w:abstractNumId w:val="20"/>
  </w:num>
  <w:num w:numId="27">
    <w:abstractNumId w:val="8"/>
  </w:num>
  <w:num w:numId="28">
    <w:abstractNumId w:val="2"/>
  </w:num>
  <w:num w:numId="29">
    <w:abstractNumId w:val="31"/>
  </w:num>
  <w:num w:numId="30">
    <w:abstractNumId w:val="3"/>
  </w:num>
  <w:num w:numId="31">
    <w:abstractNumId w:val="1"/>
  </w:num>
  <w:num w:numId="32">
    <w:abstractNumId w:val="28"/>
  </w:num>
  <w:num w:numId="33">
    <w:abstractNumId w:val="45"/>
  </w:num>
  <w:num w:numId="34">
    <w:abstractNumId w:val="12"/>
  </w:num>
  <w:num w:numId="35">
    <w:abstractNumId w:val="41"/>
  </w:num>
  <w:num w:numId="36">
    <w:abstractNumId w:val="22"/>
  </w:num>
  <w:num w:numId="37">
    <w:abstractNumId w:val="5"/>
  </w:num>
  <w:num w:numId="38">
    <w:abstractNumId w:val="0"/>
  </w:num>
  <w:num w:numId="39">
    <w:abstractNumId w:val="11"/>
  </w:num>
  <w:num w:numId="40">
    <w:abstractNumId w:val="43"/>
  </w:num>
  <w:num w:numId="41">
    <w:abstractNumId w:val="7"/>
  </w:num>
  <w:num w:numId="42">
    <w:abstractNumId w:val="25"/>
  </w:num>
  <w:num w:numId="43">
    <w:abstractNumId w:val="14"/>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56"/>
    <w:rsid w:val="00066DA9"/>
    <w:rsid w:val="00281AA9"/>
    <w:rsid w:val="00344056"/>
    <w:rsid w:val="004129DC"/>
    <w:rsid w:val="009B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3EE944-504F-4042-A540-C168FDEF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 w:unhideWhenUsed="1" w:qFormat="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341EC"/>
    <w:pPr>
      <w:spacing w:after="240" w:line="300" w:lineRule="exact"/>
    </w:pPr>
    <w:rPr>
      <w:rFonts w:ascii="Arial" w:hAnsi="Arial"/>
      <w:color w:val="7C848A"/>
      <w:sz w:val="22"/>
    </w:rPr>
  </w:style>
  <w:style w:type="paragraph" w:styleId="Heading1">
    <w:name w:val="heading 1"/>
    <w:basedOn w:val="Normal"/>
    <w:next w:val="Normal"/>
    <w:semiHidden/>
    <w:qFormat/>
    <w:locked/>
    <w:rsid w:val="00247866"/>
    <w:pPr>
      <w:keepNext/>
      <w:spacing w:after="0"/>
      <w:outlineLvl w:val="0"/>
    </w:pPr>
    <w:rPr>
      <w:b/>
      <w:caps/>
      <w:color w:val="002C77"/>
      <w:spacing w:val="40"/>
      <w:szCs w:val="28"/>
    </w:rPr>
  </w:style>
  <w:style w:type="paragraph" w:styleId="Heading2">
    <w:name w:val="heading 2"/>
    <w:basedOn w:val="Heading1"/>
    <w:next w:val="Normal"/>
    <w:semiHidden/>
    <w:qFormat/>
    <w:locked/>
    <w:rsid w:val="00B03198"/>
    <w:pPr>
      <w:outlineLvl w:val="1"/>
    </w:pPr>
    <w:rPr>
      <w:caps w:val="0"/>
      <w:color w:val="006D9E"/>
      <w:spacing w:val="5"/>
      <w:szCs w:val="26"/>
    </w:rPr>
  </w:style>
  <w:style w:type="paragraph" w:styleId="Heading3">
    <w:name w:val="heading 3"/>
    <w:basedOn w:val="Heading1"/>
    <w:next w:val="Normal"/>
    <w:semiHidden/>
    <w:qFormat/>
    <w:locked/>
    <w:rsid w:val="00B03198"/>
    <w:pPr>
      <w:outlineLvl w:val="2"/>
    </w:pPr>
    <w:rPr>
      <w:caps w:val="0"/>
      <w:color w:val="7C848A"/>
      <w:spacing w:val="0"/>
    </w:rPr>
  </w:style>
  <w:style w:type="paragraph" w:styleId="Heading4">
    <w:name w:val="heading 4"/>
    <w:basedOn w:val="Heading1"/>
    <w:next w:val="Normal"/>
    <w:semiHidden/>
    <w:qFormat/>
    <w:locked/>
    <w:pPr>
      <w:outlineLvl w:val="3"/>
    </w:pPr>
    <w:rPr>
      <w:i/>
      <w:sz w:val="24"/>
      <w:szCs w:val="24"/>
    </w:rPr>
  </w:style>
  <w:style w:type="paragraph" w:styleId="Heading5">
    <w:name w:val="heading 5"/>
    <w:basedOn w:val="Heading1"/>
    <w:next w:val="Normal"/>
    <w:semiHidden/>
    <w:qFormat/>
    <w:locked/>
    <w:pPr>
      <w:outlineLvl w:val="4"/>
    </w:pPr>
    <w:rPr>
      <w:szCs w:val="22"/>
    </w:rPr>
  </w:style>
  <w:style w:type="paragraph" w:styleId="Heading6">
    <w:name w:val="heading 6"/>
    <w:basedOn w:val="Heading1"/>
    <w:next w:val="Normal"/>
    <w:semiHidden/>
    <w:qFormat/>
    <w:locke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rsid w:val="001C6503"/>
    <w:pPr>
      <w:tabs>
        <w:tab w:val="right" w:pos="9634"/>
      </w:tabs>
    </w:pPr>
    <w:rPr>
      <w:spacing w:val="40"/>
    </w:rPr>
  </w:style>
  <w:style w:type="paragraph" w:styleId="Header">
    <w:name w:val="header"/>
    <w:basedOn w:val="Normal"/>
    <w:semiHidden/>
    <w:locked/>
    <w:pPr>
      <w:tabs>
        <w:tab w:val="center" w:pos="4320"/>
        <w:tab w:val="right" w:pos="8640"/>
      </w:tabs>
    </w:pPr>
  </w:style>
  <w:style w:type="character" w:styleId="Hyperlink">
    <w:name w:val="Hyperlink"/>
    <w:uiPriority w:val="99"/>
    <w:locked/>
    <w:rPr>
      <w:color w:val="0000FF"/>
      <w:u w:val="single"/>
    </w:rPr>
  </w:style>
  <w:style w:type="character" w:styleId="PageNumber">
    <w:name w:val="page number"/>
    <w:basedOn w:val="DefaultParagraphFont"/>
    <w:semiHidden/>
    <w:locked/>
  </w:style>
  <w:style w:type="paragraph" w:styleId="Title">
    <w:name w:val="Title"/>
    <w:basedOn w:val="Normal"/>
    <w:next w:val="Normal"/>
    <w:semiHidden/>
    <w:qFormat/>
    <w:locked/>
    <w:rsid w:val="00F31A4C"/>
    <w:pPr>
      <w:spacing w:after="60"/>
      <w:jc w:val="center"/>
    </w:pPr>
    <w:rPr>
      <w:rFonts w:cs="Arial"/>
      <w:bCs/>
      <w:sz w:val="32"/>
      <w:szCs w:val="32"/>
    </w:rPr>
  </w:style>
  <w:style w:type="paragraph" w:styleId="TOC1">
    <w:name w:val="toc 1"/>
    <w:aliases w:val="*TOC 1"/>
    <w:uiPriority w:val="39"/>
    <w:qFormat/>
    <w:rsid w:val="000D1090"/>
    <w:pPr>
      <w:tabs>
        <w:tab w:val="right" w:leader="dot" w:pos="9965"/>
      </w:tabs>
      <w:spacing w:after="100" w:line="300" w:lineRule="exact"/>
    </w:pPr>
    <w:rPr>
      <w:rFonts w:ascii="Arial" w:hAnsi="Arial"/>
      <w:b/>
      <w:color w:val="7C848A"/>
      <w:sz w:val="22"/>
    </w:rPr>
  </w:style>
  <w:style w:type="paragraph" w:styleId="TOC2">
    <w:name w:val="toc 2"/>
    <w:aliases w:val="*TOC 2"/>
    <w:uiPriority w:val="39"/>
    <w:qFormat/>
    <w:rsid w:val="008F33D0"/>
    <w:pPr>
      <w:numPr>
        <w:numId w:val="4"/>
      </w:numPr>
      <w:tabs>
        <w:tab w:val="right" w:leader="underscore" w:pos="8640"/>
      </w:tabs>
    </w:pPr>
    <w:rPr>
      <w:rFonts w:ascii="Arial" w:hAnsi="Arial"/>
      <w:color w:val="7C848A"/>
      <w:sz w:val="22"/>
      <w:szCs w:val="22"/>
    </w:rPr>
  </w:style>
  <w:style w:type="paragraph" w:styleId="TOC3">
    <w:name w:val="toc 3"/>
    <w:aliases w:val="*TOC 3"/>
    <w:uiPriority w:val="39"/>
    <w:qFormat/>
    <w:rsid w:val="008F33D0"/>
    <w:pPr>
      <w:numPr>
        <w:numId w:val="5"/>
      </w:numPr>
      <w:tabs>
        <w:tab w:val="right" w:leader="underscore" w:pos="8640"/>
      </w:tabs>
    </w:pPr>
    <w:rPr>
      <w:rFonts w:ascii="Arial" w:hAnsi="Arial"/>
      <w:color w:val="7C848A"/>
      <w:sz w:val="22"/>
      <w:szCs w:val="16"/>
    </w:rPr>
  </w:style>
  <w:style w:type="paragraph" w:styleId="TOC4">
    <w:name w:val="toc 4"/>
    <w:aliases w:val="*TOC 4"/>
    <w:uiPriority w:val="3"/>
    <w:qFormat/>
    <w:rsid w:val="008F33D0"/>
    <w:pPr>
      <w:numPr>
        <w:numId w:val="6"/>
      </w:numPr>
      <w:tabs>
        <w:tab w:val="right" w:leader="underscore" w:pos="8640"/>
      </w:tabs>
      <w:spacing w:after="240" w:line="260" w:lineRule="atLeast"/>
    </w:pPr>
    <w:rPr>
      <w:rFonts w:ascii="Arial" w:hAnsi="Arial"/>
      <w:color w:val="7C848A"/>
      <w:sz w:val="22"/>
    </w:rPr>
  </w:style>
  <w:style w:type="paragraph" w:styleId="TOC5">
    <w:name w:val="toc 5"/>
    <w:basedOn w:val="Normal"/>
    <w:semiHidden/>
    <w:rsid w:val="00F31A4C"/>
    <w:pPr>
      <w:tabs>
        <w:tab w:val="right" w:leader="underscore" w:pos="8640"/>
      </w:tabs>
      <w:spacing w:before="60" w:after="60"/>
      <w:ind w:left="1152"/>
    </w:pPr>
    <w:rPr>
      <w:i/>
      <w:sz w:val="20"/>
    </w:rPr>
  </w:style>
  <w:style w:type="paragraph" w:styleId="TOC6">
    <w:name w:val="toc 6"/>
    <w:basedOn w:val="Normal"/>
    <w:semiHidden/>
    <w:rsid w:val="00F31A4C"/>
    <w:pPr>
      <w:tabs>
        <w:tab w:val="right" w:leader="underscore" w:pos="8640"/>
      </w:tabs>
      <w:spacing w:before="60" w:after="60"/>
      <w:ind w:left="1440"/>
    </w:pPr>
    <w:rPr>
      <w:b/>
      <w:i/>
      <w:sz w:val="20"/>
    </w:rPr>
  </w:style>
  <w:style w:type="paragraph" w:styleId="TOC7">
    <w:name w:val="toc 7"/>
    <w:basedOn w:val="Normal"/>
    <w:semiHidden/>
    <w:rsid w:val="00F31A4C"/>
    <w:pPr>
      <w:tabs>
        <w:tab w:val="right" w:leader="underscore" w:pos="8640"/>
      </w:tabs>
      <w:spacing w:before="60" w:after="60"/>
      <w:ind w:left="1728"/>
    </w:pPr>
    <w:rPr>
      <w:sz w:val="18"/>
    </w:rPr>
  </w:style>
  <w:style w:type="paragraph" w:styleId="TOC8">
    <w:name w:val="toc 8"/>
    <w:basedOn w:val="Normal"/>
    <w:semiHidden/>
    <w:rsid w:val="00F31A4C"/>
    <w:pPr>
      <w:tabs>
        <w:tab w:val="right" w:leader="underscore" w:pos="8640"/>
      </w:tabs>
      <w:spacing w:before="60" w:after="60"/>
      <w:ind w:left="2016"/>
    </w:pPr>
    <w:rPr>
      <w:i/>
      <w:sz w:val="18"/>
    </w:rPr>
  </w:style>
  <w:style w:type="paragraph" w:styleId="TOC9">
    <w:name w:val="toc 9"/>
    <w:basedOn w:val="Normal"/>
    <w:semiHidden/>
    <w:rsid w:val="00F31A4C"/>
    <w:pPr>
      <w:tabs>
        <w:tab w:val="right" w:leader="underscore" w:pos="8640"/>
      </w:tabs>
      <w:spacing w:before="60" w:after="60"/>
      <w:ind w:left="2304"/>
    </w:pPr>
    <w:rPr>
      <w:b/>
      <w:i/>
      <w:sz w:val="18"/>
    </w:rPr>
  </w:style>
  <w:style w:type="paragraph" w:customStyle="1" w:styleId="AppendixTitle">
    <w:name w:val="*Appendix Title"/>
    <w:next w:val="Normal"/>
    <w:uiPriority w:val="2"/>
    <w:qFormat/>
    <w:rsid w:val="00392ABC"/>
    <w:pPr>
      <w:pageBreakBefore/>
    </w:pPr>
    <w:rPr>
      <w:rFonts w:ascii="Arial" w:hAnsi="Arial"/>
      <w:caps/>
      <w:color w:val="002C77"/>
      <w:spacing w:val="40"/>
      <w:sz w:val="52"/>
      <w:szCs w:val="28"/>
    </w:rPr>
  </w:style>
  <w:style w:type="paragraph" w:customStyle="1" w:styleId="AppendixSubtitle">
    <w:name w:val="*Appendix Subtitle"/>
    <w:next w:val="Normal"/>
    <w:uiPriority w:val="3"/>
    <w:qFormat/>
    <w:rsid w:val="00392ABC"/>
    <w:pPr>
      <w:spacing w:after="240"/>
    </w:pPr>
    <w:rPr>
      <w:rFonts w:ascii="Arial" w:hAnsi="Arial" w:cs="Arial"/>
      <w:caps/>
      <w:color w:val="00A8C8"/>
      <w:spacing w:val="40"/>
      <w:sz w:val="36"/>
      <w:szCs w:val="24"/>
    </w:rPr>
  </w:style>
  <w:style w:type="paragraph" w:customStyle="1" w:styleId="Footer0">
    <w:name w:val="*Footer"/>
    <w:uiPriority w:val="3"/>
    <w:qFormat/>
    <w:rsid w:val="00961DBD"/>
    <w:pPr>
      <w:tabs>
        <w:tab w:val="right" w:pos="9634"/>
      </w:tabs>
    </w:pPr>
    <w:rPr>
      <w:rFonts w:ascii="Arial" w:hAnsi="Arial"/>
      <w:caps/>
      <w:color w:val="7C848A"/>
      <w:spacing w:val="40"/>
      <w:sz w:val="16"/>
      <w:szCs w:val="22"/>
    </w:rPr>
  </w:style>
  <w:style w:type="paragraph" w:customStyle="1" w:styleId="ReportTitle">
    <w:name w:val="*Report Title"/>
    <w:uiPriority w:val="1"/>
    <w:qFormat/>
    <w:rsid w:val="00961DBD"/>
    <w:rPr>
      <w:rFonts w:ascii="Arial" w:hAnsi="Arial"/>
      <w:caps/>
      <w:color w:val="7C848A"/>
      <w:spacing w:val="40"/>
      <w:sz w:val="16"/>
      <w:szCs w:val="22"/>
    </w:rPr>
  </w:style>
  <w:style w:type="paragraph" w:customStyle="1" w:styleId="SectionNumber">
    <w:name w:val="*Section Number"/>
    <w:next w:val="SectionHeading"/>
    <w:uiPriority w:val="1"/>
    <w:qFormat/>
    <w:rsid w:val="00FC17D6"/>
    <w:pPr>
      <w:pageBreakBefore/>
      <w:shd w:val="clear" w:color="FFFFFF" w:fill="auto"/>
      <w:outlineLvl w:val="0"/>
    </w:pPr>
    <w:rPr>
      <w:rFonts w:ascii="Arial" w:hAnsi="Arial"/>
      <w:b/>
      <w:caps/>
      <w:color w:val="002C77"/>
      <w:spacing w:val="60"/>
      <w:sz w:val="72"/>
      <w:szCs w:val="44"/>
    </w:rPr>
  </w:style>
  <w:style w:type="paragraph" w:customStyle="1" w:styleId="SectionHeading">
    <w:name w:val="*Section Heading"/>
    <w:next w:val="DocumentText"/>
    <w:uiPriority w:val="1"/>
    <w:qFormat/>
    <w:rsid w:val="00F25222"/>
    <w:pPr>
      <w:spacing w:after="360"/>
      <w:ind w:right="-6"/>
      <w:outlineLvl w:val="1"/>
    </w:pPr>
    <w:rPr>
      <w:rFonts w:ascii="Arial" w:hAnsi="Arial"/>
      <w:caps/>
      <w:color w:val="00A8C8"/>
      <w:spacing w:val="40"/>
      <w:sz w:val="36"/>
      <w:szCs w:val="28"/>
    </w:rPr>
  </w:style>
  <w:style w:type="paragraph" w:customStyle="1" w:styleId="Heading10">
    <w:name w:val="*Heading 1"/>
    <w:next w:val="DocumentText"/>
    <w:uiPriority w:val="1"/>
    <w:qFormat/>
    <w:rsid w:val="00013B0B"/>
    <w:pPr>
      <w:spacing w:line="300" w:lineRule="exact"/>
      <w:outlineLvl w:val="2"/>
    </w:pPr>
    <w:rPr>
      <w:rFonts w:ascii="Arial" w:hAnsi="Arial"/>
      <w:caps/>
      <w:color w:val="002C77"/>
      <w:spacing w:val="30"/>
      <w:sz w:val="22"/>
      <w:szCs w:val="26"/>
    </w:rPr>
  </w:style>
  <w:style w:type="paragraph" w:customStyle="1" w:styleId="Heading20">
    <w:name w:val="*Heading 2"/>
    <w:next w:val="DocumentText"/>
    <w:uiPriority w:val="1"/>
    <w:qFormat/>
    <w:rsid w:val="00FC17D6"/>
    <w:pPr>
      <w:spacing w:line="300" w:lineRule="exact"/>
    </w:pPr>
    <w:rPr>
      <w:rFonts w:ascii="Arial" w:hAnsi="Arial"/>
      <w:b/>
      <w:color w:val="006D9E"/>
      <w:spacing w:val="5"/>
      <w:sz w:val="22"/>
      <w:szCs w:val="22"/>
    </w:rPr>
  </w:style>
  <w:style w:type="paragraph" w:customStyle="1" w:styleId="Heading30">
    <w:name w:val="*Heading 3"/>
    <w:next w:val="DocumentText"/>
    <w:uiPriority w:val="1"/>
    <w:qFormat/>
    <w:rsid w:val="00FC17D6"/>
    <w:pPr>
      <w:spacing w:line="300" w:lineRule="exact"/>
    </w:pPr>
    <w:rPr>
      <w:rFonts w:ascii="Arial" w:hAnsi="Arial"/>
      <w:b/>
      <w:color w:val="7C848A"/>
      <w:sz w:val="22"/>
      <w:szCs w:val="22"/>
    </w:rPr>
  </w:style>
  <w:style w:type="paragraph" w:customStyle="1" w:styleId="DocumentText">
    <w:name w:val="*Document Text"/>
    <w:link w:val="DocumentTextChar"/>
    <w:qFormat/>
    <w:rsid w:val="00162360"/>
    <w:pPr>
      <w:spacing w:after="240" w:line="300" w:lineRule="exact"/>
    </w:pPr>
    <w:rPr>
      <w:rFonts w:ascii="Arial" w:hAnsi="Arial"/>
      <w:color w:val="7C848A"/>
      <w:sz w:val="22"/>
      <w:szCs w:val="22"/>
    </w:rPr>
  </w:style>
  <w:style w:type="paragraph" w:customStyle="1" w:styleId="Bullet1">
    <w:name w:val="*Bullet 1"/>
    <w:uiPriority w:val="1"/>
    <w:qFormat/>
    <w:rsid w:val="006631D0"/>
    <w:pPr>
      <w:numPr>
        <w:numId w:val="1"/>
      </w:numPr>
      <w:spacing w:line="300" w:lineRule="exact"/>
    </w:pPr>
    <w:rPr>
      <w:rFonts w:ascii="Arial" w:hAnsi="Arial"/>
      <w:color w:val="7C848A"/>
      <w:sz w:val="22"/>
      <w:szCs w:val="22"/>
    </w:rPr>
  </w:style>
  <w:style w:type="paragraph" w:customStyle="1" w:styleId="Bullet2">
    <w:name w:val="*Bullet 2"/>
    <w:uiPriority w:val="1"/>
    <w:qFormat/>
    <w:rsid w:val="006631D0"/>
    <w:pPr>
      <w:numPr>
        <w:numId w:val="2"/>
      </w:numPr>
      <w:spacing w:line="300" w:lineRule="exact"/>
    </w:pPr>
    <w:rPr>
      <w:rFonts w:ascii="Arial" w:hAnsi="Arial"/>
      <w:color w:val="7C848A"/>
      <w:sz w:val="22"/>
      <w:szCs w:val="22"/>
    </w:rPr>
  </w:style>
  <w:style w:type="paragraph" w:customStyle="1" w:styleId="DocumentTOCHeading">
    <w:name w:val="*Document TOC Heading"/>
    <w:next w:val="DocumentText"/>
    <w:uiPriority w:val="1"/>
    <w:qFormat/>
    <w:rsid w:val="00FC17D6"/>
    <w:pPr>
      <w:shd w:val="clear" w:color="FFFFFF" w:fill="auto"/>
      <w:spacing w:before="1800" w:after="500"/>
    </w:pPr>
    <w:rPr>
      <w:rFonts w:ascii="Arial" w:hAnsi="Arial"/>
      <w:b/>
      <w:smallCaps/>
      <w:color w:val="7C848A"/>
      <w:spacing w:val="40"/>
      <w:sz w:val="36"/>
      <w:szCs w:val="44"/>
    </w:rPr>
  </w:style>
  <w:style w:type="paragraph" w:customStyle="1" w:styleId="TableHead">
    <w:name w:val="*Table Head"/>
    <w:uiPriority w:val="1"/>
    <w:qFormat/>
    <w:rsid w:val="000140AE"/>
    <w:pPr>
      <w:keepNext/>
    </w:pPr>
    <w:rPr>
      <w:rFonts w:ascii="Arial" w:hAnsi="Arial"/>
      <w:b/>
      <w:color w:val="FFFFFF" w:themeColor="background1"/>
      <w:szCs w:val="22"/>
    </w:rPr>
  </w:style>
  <w:style w:type="paragraph" w:customStyle="1" w:styleId="TableText">
    <w:name w:val="*Table Text"/>
    <w:uiPriority w:val="1"/>
    <w:qFormat/>
    <w:rsid w:val="00D62474"/>
    <w:pPr>
      <w:spacing w:before="40" w:after="40"/>
    </w:pPr>
    <w:rPr>
      <w:rFonts w:ascii="Arial" w:hAnsi="Arial"/>
      <w:color w:val="7C848A"/>
      <w:szCs w:val="22"/>
    </w:rPr>
  </w:style>
  <w:style w:type="paragraph" w:customStyle="1" w:styleId="ProposalTitle">
    <w:name w:val="*Proposal Title"/>
    <w:next w:val="ProposalSubtitle"/>
    <w:uiPriority w:val="1"/>
    <w:qFormat/>
    <w:rsid w:val="006D56DD"/>
    <w:pPr>
      <w:spacing w:before="1000" w:after="240"/>
    </w:pPr>
    <w:rPr>
      <w:rFonts w:ascii="Arial" w:hAnsi="Arial"/>
      <w:b/>
      <w:caps/>
      <w:color w:val="002C77"/>
      <w:spacing w:val="40"/>
      <w:sz w:val="52"/>
      <w:szCs w:val="48"/>
    </w:rPr>
  </w:style>
  <w:style w:type="paragraph" w:customStyle="1" w:styleId="ProposalSubtitle">
    <w:name w:val="*Proposal Subtitle"/>
    <w:next w:val="DocumentText"/>
    <w:uiPriority w:val="1"/>
    <w:qFormat/>
    <w:rsid w:val="006D56DD"/>
    <w:pPr>
      <w:spacing w:before="480" w:after="480"/>
    </w:pPr>
    <w:rPr>
      <w:rFonts w:ascii="Arial" w:hAnsi="Arial"/>
      <w:color w:val="7C848A"/>
      <w:spacing w:val="10"/>
      <w:sz w:val="28"/>
      <w:szCs w:val="36"/>
    </w:rPr>
  </w:style>
  <w:style w:type="paragraph" w:customStyle="1" w:styleId="TitlePageSubTitle">
    <w:name w:val="*Title Page Sub Title"/>
    <w:uiPriority w:val="1"/>
    <w:qFormat/>
    <w:rsid w:val="00AE7ACE"/>
    <w:pPr>
      <w:spacing w:before="240" w:after="240"/>
    </w:pPr>
    <w:rPr>
      <w:rFonts w:ascii="Arial" w:hAnsi="Arial"/>
      <w:caps/>
      <w:color w:val="00A8C8"/>
      <w:spacing w:val="40"/>
      <w:sz w:val="52"/>
      <w:szCs w:val="22"/>
    </w:rPr>
  </w:style>
  <w:style w:type="paragraph" w:customStyle="1" w:styleId="TitlePageDate">
    <w:name w:val="*Title Page Date"/>
    <w:uiPriority w:val="1"/>
    <w:qFormat/>
    <w:rsid w:val="00F03326"/>
    <w:pPr>
      <w:spacing w:before="480" w:after="480"/>
    </w:pPr>
    <w:rPr>
      <w:rFonts w:ascii="Arial" w:hAnsi="Arial"/>
      <w:caps/>
      <w:color w:val="00A8C8"/>
      <w:spacing w:val="40"/>
      <w:sz w:val="36"/>
      <w:szCs w:val="24"/>
    </w:rPr>
  </w:style>
  <w:style w:type="paragraph" w:customStyle="1" w:styleId="TitlePageHWCLockup">
    <w:name w:val="*Title Page HWC Lockup"/>
    <w:next w:val="TitlePageSubTitle"/>
    <w:uiPriority w:val="3"/>
    <w:qFormat/>
    <w:rsid w:val="00EB73C9"/>
    <w:rPr>
      <w:rFonts w:ascii="Arial" w:hAnsi="Arial"/>
      <w:b/>
      <w:caps/>
      <w:color w:val="7C848A"/>
      <w:spacing w:val="40"/>
      <w:szCs w:val="22"/>
    </w:rPr>
  </w:style>
  <w:style w:type="paragraph" w:customStyle="1" w:styleId="QuestionHeader">
    <w:name w:val="*Question Header"/>
    <w:next w:val="Normal"/>
    <w:uiPriority w:val="1"/>
    <w:rsid w:val="009A55D1"/>
    <w:pPr>
      <w:spacing w:after="120" w:line="300" w:lineRule="exact"/>
    </w:pPr>
    <w:rPr>
      <w:rFonts w:ascii="Arial" w:hAnsi="Arial"/>
      <w:caps/>
      <w:color w:val="00A8C8"/>
      <w:spacing w:val="40"/>
      <w:sz w:val="22"/>
      <w:szCs w:val="22"/>
    </w:rPr>
  </w:style>
  <w:style w:type="paragraph" w:customStyle="1" w:styleId="Questions">
    <w:name w:val="*Questions"/>
    <w:next w:val="DocumentText"/>
    <w:uiPriority w:val="1"/>
    <w:qFormat/>
    <w:rsid w:val="00FF6F2F"/>
    <w:pPr>
      <w:spacing w:line="300" w:lineRule="exact"/>
      <w:ind w:left="709" w:hanging="709"/>
    </w:pPr>
    <w:rPr>
      <w:rFonts w:ascii="Arial" w:hAnsi="Arial"/>
      <w:b/>
      <w:color w:val="00A8C8"/>
      <w:spacing w:val="5"/>
      <w:sz w:val="22"/>
      <w:szCs w:val="22"/>
      <w:lang w:val="en-GB"/>
    </w:rPr>
  </w:style>
  <w:style w:type="paragraph" w:customStyle="1" w:styleId="TitlePageTagline">
    <w:name w:val="*Title Page Tagline"/>
    <w:uiPriority w:val="99"/>
    <w:rsid w:val="007B0C0E"/>
    <w:pPr>
      <w:spacing w:before="60" w:after="60" w:line="300" w:lineRule="exact"/>
    </w:pPr>
    <w:rPr>
      <w:rFonts w:ascii="Arial" w:hAnsi="Arial"/>
      <w:b/>
      <w:color w:val="7C848A"/>
      <w:sz w:val="36"/>
      <w:szCs w:val="22"/>
    </w:rPr>
  </w:style>
  <w:style w:type="paragraph" w:customStyle="1" w:styleId="ClientNameHeader">
    <w:name w:val="*Client Name Header"/>
    <w:basedOn w:val="ReportTitle"/>
    <w:uiPriority w:val="3"/>
    <w:qFormat/>
    <w:rsid w:val="00961DBD"/>
    <w:pPr>
      <w:jc w:val="right"/>
    </w:pPr>
    <w:rPr>
      <w:b/>
    </w:rPr>
  </w:style>
  <w:style w:type="paragraph" w:customStyle="1" w:styleId="Bullet3">
    <w:name w:val="*Bullet 3"/>
    <w:basedOn w:val="Bullet2"/>
    <w:uiPriority w:val="1"/>
    <w:qFormat/>
    <w:rsid w:val="006631D0"/>
    <w:pPr>
      <w:numPr>
        <w:numId w:val="3"/>
      </w:numPr>
      <w:ind w:left="1138" w:hanging="432"/>
    </w:pPr>
  </w:style>
  <w:style w:type="paragraph" w:customStyle="1" w:styleId="TableTitle">
    <w:name w:val="*Table Title"/>
    <w:uiPriority w:val="2"/>
    <w:qFormat/>
    <w:rsid w:val="00FC17D6"/>
    <w:pPr>
      <w:spacing w:after="240" w:line="300" w:lineRule="exact"/>
    </w:pPr>
    <w:rPr>
      <w:rFonts w:ascii="Arial" w:hAnsi="Arial"/>
      <w:b/>
      <w:caps/>
      <w:color w:val="00A8C8"/>
      <w:spacing w:val="60"/>
      <w:sz w:val="22"/>
      <w:szCs w:val="22"/>
    </w:rPr>
  </w:style>
  <w:style w:type="paragraph" w:customStyle="1" w:styleId="TableNormal0">
    <w:name w:val="*Table Normal"/>
    <w:uiPriority w:val="2"/>
    <w:qFormat/>
    <w:rsid w:val="002F4945"/>
    <w:pPr>
      <w:spacing w:before="60" w:after="60" w:line="260" w:lineRule="exact"/>
    </w:pPr>
    <w:rPr>
      <w:rFonts w:ascii="Arial" w:hAnsi="Arial"/>
      <w:color w:val="7C848A"/>
      <w:szCs w:val="22"/>
    </w:rPr>
  </w:style>
  <w:style w:type="table" w:styleId="TableGrid">
    <w:name w:val="Table Grid"/>
    <w:aliases w:val="Tender Table 1"/>
    <w:basedOn w:val="TableNormal"/>
    <w:locked/>
    <w:rsid w:val="006D56DD"/>
    <w:pPr>
      <w:spacing w:line="240" w:lineRule="exact"/>
    </w:pPr>
    <w:tblPr>
      <w:tblBorders>
        <w:insideH w:val="single" w:sz="4" w:space="0" w:color="808080" w:themeColor="background1" w:themeShade="80"/>
      </w:tblBorders>
    </w:tblPr>
    <w:tcPr>
      <w:shd w:val="clear" w:color="auto" w:fill="F2F2F2" w:themeFill="background1" w:themeFillShade="F2"/>
      <w:vAlign w:val="center"/>
    </w:tcPr>
  </w:style>
  <w:style w:type="table" w:customStyle="1" w:styleId="MercerTable">
    <w:name w:val="*Mercer Table"/>
    <w:basedOn w:val="TableNormal"/>
    <w:uiPriority w:val="99"/>
    <w:rsid w:val="00184063"/>
    <w:rPr>
      <w:rFonts w:ascii="Arial" w:hAnsi="Arial"/>
      <w:sz w:val="18"/>
    </w:rPr>
    <w:tblPr/>
    <w:tblStylePr w:type="firstRow">
      <w:rPr>
        <w:rFonts w:ascii="Arial" w:hAnsi="Arial"/>
        <w:color w:val="FFFFFF" w:themeColor="background1"/>
        <w:sz w:val="18"/>
      </w:rPr>
      <w:tblPr/>
      <w:tcPr>
        <w:shd w:val="clear" w:color="auto" w:fill="00A8C8"/>
      </w:tcPr>
    </w:tblStylePr>
  </w:style>
  <w:style w:type="paragraph" w:customStyle="1" w:styleId="TableSubheading">
    <w:name w:val="*Table Subheading"/>
    <w:uiPriority w:val="2"/>
    <w:qFormat/>
    <w:rsid w:val="00D62474"/>
    <w:rPr>
      <w:rFonts w:ascii="Arial Bold" w:hAnsi="Arial Bold"/>
      <w:b/>
      <w:caps/>
      <w:color w:val="7C848A"/>
      <w:spacing w:val="60"/>
      <w:sz w:val="18"/>
    </w:rPr>
  </w:style>
  <w:style w:type="paragraph" w:customStyle="1" w:styleId="TableTextBold">
    <w:name w:val="*Table Text Bold"/>
    <w:basedOn w:val="TableText"/>
    <w:uiPriority w:val="2"/>
    <w:rsid w:val="00162360"/>
    <w:rPr>
      <w:b/>
    </w:rPr>
  </w:style>
  <w:style w:type="paragraph" w:customStyle="1" w:styleId="IntroText">
    <w:name w:val="*Intro Text"/>
    <w:uiPriority w:val="1"/>
    <w:qFormat/>
    <w:rsid w:val="00162360"/>
    <w:pPr>
      <w:spacing w:before="120" w:after="240"/>
    </w:pPr>
    <w:rPr>
      <w:rFonts w:ascii="Arial" w:hAnsi="Arial"/>
      <w:color w:val="7C848A"/>
      <w:sz w:val="24"/>
    </w:rPr>
  </w:style>
  <w:style w:type="paragraph" w:customStyle="1" w:styleId="AppendixSectionTitle">
    <w:name w:val="*Appendix Section Title"/>
    <w:uiPriority w:val="3"/>
    <w:qFormat/>
    <w:rsid w:val="00CC4404"/>
    <w:pPr>
      <w:spacing w:after="360"/>
    </w:pPr>
    <w:rPr>
      <w:rFonts w:ascii="Arial Bold" w:hAnsi="Arial Bold"/>
      <w:b/>
      <w:caps/>
      <w:color w:val="002C77" w:themeColor="text2"/>
      <w:spacing w:val="60"/>
      <w:sz w:val="72"/>
      <w:szCs w:val="44"/>
    </w:rPr>
  </w:style>
  <w:style w:type="paragraph" w:customStyle="1" w:styleId="BackcoverCompanyName">
    <w:name w:val="*Backcover Company Name"/>
    <w:uiPriority w:val="3"/>
    <w:qFormat/>
    <w:rsid w:val="00FC17D6"/>
    <w:rPr>
      <w:rFonts w:ascii="Arial" w:hAnsi="Arial" w:cs="Arial"/>
      <w:b/>
      <w:caps/>
      <w:color w:val="808080"/>
      <w:spacing w:val="40"/>
      <w:sz w:val="24"/>
      <w:szCs w:val="24"/>
    </w:rPr>
  </w:style>
  <w:style w:type="paragraph" w:customStyle="1" w:styleId="Address">
    <w:name w:val="*Address"/>
    <w:uiPriority w:val="3"/>
    <w:qFormat/>
    <w:rsid w:val="00431308"/>
    <w:rPr>
      <w:rFonts w:ascii="Arial" w:hAnsi="Arial" w:cs="Arial"/>
      <w:color w:val="808080"/>
      <w:spacing w:val="5"/>
      <w:sz w:val="22"/>
      <w:szCs w:val="24"/>
    </w:rPr>
  </w:style>
  <w:style w:type="paragraph" w:customStyle="1" w:styleId="LegalText">
    <w:name w:val="*Legal Text"/>
    <w:uiPriority w:val="3"/>
    <w:qFormat/>
    <w:rsid w:val="00431308"/>
    <w:rPr>
      <w:rFonts w:ascii="Arial" w:hAnsi="Arial" w:cs="Arial"/>
      <w:color w:val="808080"/>
      <w:sz w:val="18"/>
      <w:szCs w:val="24"/>
    </w:rPr>
  </w:style>
  <w:style w:type="paragraph" w:customStyle="1" w:styleId="FooterPageNumber">
    <w:name w:val="*Footer Page Number"/>
    <w:basedOn w:val="Footer0"/>
    <w:uiPriority w:val="3"/>
    <w:qFormat/>
    <w:rsid w:val="00030D34"/>
    <w:pPr>
      <w:jc w:val="right"/>
    </w:pPr>
    <w:rPr>
      <w:noProof/>
    </w:rPr>
  </w:style>
  <w:style w:type="paragraph" w:customStyle="1" w:styleId="Numbered1">
    <w:name w:val="*Numbered 1"/>
    <w:basedOn w:val="Bullet1"/>
    <w:uiPriority w:val="3"/>
    <w:qFormat/>
    <w:rsid w:val="00B97B74"/>
    <w:pPr>
      <w:numPr>
        <w:numId w:val="7"/>
      </w:numPr>
      <w:ind w:left="288" w:hanging="288"/>
    </w:pPr>
  </w:style>
  <w:style w:type="paragraph" w:customStyle="1" w:styleId="Numbered2">
    <w:name w:val="*Numbered 2"/>
    <w:basedOn w:val="Bullet2"/>
    <w:uiPriority w:val="3"/>
    <w:qFormat/>
    <w:rsid w:val="00B97B74"/>
    <w:pPr>
      <w:numPr>
        <w:numId w:val="8"/>
      </w:numPr>
      <w:ind w:left="720" w:hanging="432"/>
    </w:pPr>
  </w:style>
  <w:style w:type="paragraph" w:customStyle="1" w:styleId="Numbered3">
    <w:name w:val="*Numbered 3"/>
    <w:basedOn w:val="Bullet3"/>
    <w:uiPriority w:val="3"/>
    <w:qFormat/>
    <w:rsid w:val="00B97B74"/>
    <w:pPr>
      <w:numPr>
        <w:numId w:val="9"/>
      </w:numPr>
      <w:ind w:left="1137" w:hanging="302"/>
    </w:pPr>
  </w:style>
  <w:style w:type="paragraph" w:customStyle="1" w:styleId="ReporttitleHeader">
    <w:name w:val="Report title Header"/>
    <w:link w:val="ReporttitleHeaderChar"/>
    <w:qFormat/>
    <w:rsid w:val="00844C18"/>
    <w:rPr>
      <w:rFonts w:ascii="Arial" w:eastAsiaTheme="minorHAnsi" w:hAnsi="Arial" w:cs="Arial"/>
      <w:b/>
      <w:caps/>
      <w:color w:val="7C848A" w:themeColor="accent5"/>
      <w:spacing w:val="40"/>
      <w:sz w:val="16"/>
      <w:szCs w:val="36"/>
      <w:lang w:val="en-GB"/>
    </w:rPr>
  </w:style>
  <w:style w:type="paragraph" w:customStyle="1" w:styleId="ClientNameHeaderandfooter">
    <w:name w:val="Client Name Header and footer"/>
    <w:link w:val="ClientNameHeaderandfooterChar"/>
    <w:qFormat/>
    <w:rsid w:val="00844C18"/>
    <w:rPr>
      <w:rFonts w:ascii="Arial" w:eastAsiaTheme="minorHAnsi" w:hAnsi="Arial" w:cs="Arial"/>
      <w:caps/>
      <w:color w:val="7C848A" w:themeColor="accent5"/>
      <w:spacing w:val="40"/>
      <w:sz w:val="16"/>
      <w:szCs w:val="36"/>
      <w:lang w:val="en-GB"/>
    </w:rPr>
  </w:style>
  <w:style w:type="character" w:customStyle="1" w:styleId="ReporttitleHeaderChar">
    <w:name w:val="Report title Header Char"/>
    <w:basedOn w:val="DefaultParagraphFont"/>
    <w:link w:val="ReporttitleHeader"/>
    <w:rsid w:val="00A77297"/>
    <w:rPr>
      <w:rFonts w:ascii="Arial" w:eastAsiaTheme="minorHAnsi" w:hAnsi="Arial" w:cs="Arial"/>
      <w:b/>
      <w:caps/>
      <w:color w:val="7C848A" w:themeColor="accent5"/>
      <w:spacing w:val="40"/>
      <w:sz w:val="16"/>
      <w:szCs w:val="36"/>
      <w:lang w:val="en-GB"/>
    </w:rPr>
  </w:style>
  <w:style w:type="character" w:customStyle="1" w:styleId="ClientNameHeaderandfooterChar">
    <w:name w:val="Client Name Header and footer Char"/>
    <w:basedOn w:val="DefaultParagraphFont"/>
    <w:link w:val="ClientNameHeaderandfooter"/>
    <w:rsid w:val="00A77297"/>
    <w:rPr>
      <w:rFonts w:ascii="Arial" w:eastAsiaTheme="minorHAnsi" w:hAnsi="Arial" w:cs="Arial"/>
      <w:caps/>
      <w:color w:val="7C848A" w:themeColor="accent5"/>
      <w:spacing w:val="40"/>
      <w:sz w:val="16"/>
      <w:szCs w:val="36"/>
      <w:lang w:val="en-GB"/>
    </w:rPr>
  </w:style>
  <w:style w:type="paragraph" w:customStyle="1" w:styleId="Question2">
    <w:name w:val="Question 2"/>
    <w:next w:val="Normal"/>
    <w:link w:val="Question2Char"/>
    <w:rsid w:val="00844C18"/>
    <w:pPr>
      <w:spacing w:after="120" w:line="300" w:lineRule="exact"/>
    </w:pPr>
    <w:rPr>
      <w:rFonts w:ascii="Arial" w:eastAsiaTheme="minorHAnsi" w:hAnsi="Arial"/>
      <w:b/>
      <w:color w:val="00A8C8" w:themeColor="accent2"/>
      <w:sz w:val="22"/>
      <w:lang w:val="en-GB"/>
    </w:rPr>
  </w:style>
  <w:style w:type="character" w:customStyle="1" w:styleId="Question2Char">
    <w:name w:val="Question 2 Char"/>
    <w:basedOn w:val="DefaultParagraphFont"/>
    <w:link w:val="Question2"/>
    <w:rsid w:val="00844C18"/>
    <w:rPr>
      <w:rFonts w:ascii="Arial" w:eastAsiaTheme="minorHAnsi" w:hAnsi="Arial"/>
      <w:b/>
      <w:color w:val="00A8C8" w:themeColor="accent2"/>
      <w:sz w:val="22"/>
      <w:lang w:val="en-GB"/>
    </w:rPr>
  </w:style>
  <w:style w:type="paragraph" w:customStyle="1" w:styleId="BulletsLevel1">
    <w:name w:val="Bullets Level 1"/>
    <w:uiPriority w:val="99"/>
    <w:rsid w:val="00844C18"/>
    <w:pPr>
      <w:spacing w:before="40" w:after="40" w:line="300" w:lineRule="exact"/>
    </w:pPr>
    <w:rPr>
      <w:rFonts w:ascii="Arial" w:hAnsi="Arial"/>
      <w:lang w:val="en-GB"/>
    </w:rPr>
  </w:style>
  <w:style w:type="paragraph" w:customStyle="1" w:styleId="Address0">
    <w:name w:val="Address"/>
    <w:basedOn w:val="Normal"/>
    <w:link w:val="AddressChar"/>
    <w:qFormat/>
    <w:rsid w:val="00844C18"/>
    <w:pPr>
      <w:spacing w:after="0" w:line="240" w:lineRule="auto"/>
    </w:pPr>
    <w:rPr>
      <w:rFonts w:cs="Arial"/>
      <w:color w:val="808080"/>
      <w:spacing w:val="5"/>
    </w:rPr>
  </w:style>
  <w:style w:type="character" w:customStyle="1" w:styleId="AddressChar">
    <w:name w:val="Address Char"/>
    <w:basedOn w:val="DefaultParagraphFont"/>
    <w:link w:val="Address0"/>
    <w:rsid w:val="00A77297"/>
    <w:rPr>
      <w:rFonts w:ascii="Arial" w:hAnsi="Arial" w:cs="Arial"/>
      <w:color w:val="808080"/>
      <w:spacing w:val="5"/>
      <w:sz w:val="22"/>
    </w:rPr>
  </w:style>
  <w:style w:type="paragraph" w:styleId="ListParagraph">
    <w:name w:val="List Paragraph"/>
    <w:basedOn w:val="Normal"/>
    <w:link w:val="ListParagraphChar"/>
    <w:uiPriority w:val="34"/>
    <w:qFormat/>
    <w:locked/>
    <w:rsid w:val="009700FB"/>
    <w:pPr>
      <w:ind w:left="720"/>
      <w:contextualSpacing/>
    </w:pPr>
  </w:style>
  <w:style w:type="paragraph" w:customStyle="1" w:styleId="TableLogoText">
    <w:name w:val="Table Logo Text"/>
    <w:basedOn w:val="Normal"/>
    <w:link w:val="TableLogoTextChar"/>
    <w:rsid w:val="00FF6F2F"/>
    <w:pPr>
      <w:spacing w:after="0" w:line="240" w:lineRule="auto"/>
    </w:pPr>
    <w:rPr>
      <w:rFonts w:cs="Arial"/>
      <w:color w:val="auto"/>
      <w:sz w:val="24"/>
    </w:rPr>
  </w:style>
  <w:style w:type="paragraph" w:customStyle="1" w:styleId="AddressBlock">
    <w:name w:val="Address Block"/>
    <w:basedOn w:val="Normal"/>
    <w:link w:val="AddressBlockChar"/>
    <w:rsid w:val="00FF6F2F"/>
    <w:pPr>
      <w:spacing w:after="0" w:line="180" w:lineRule="atLeast"/>
    </w:pPr>
    <w:rPr>
      <w:rFonts w:cs="Arial"/>
      <w:color w:val="auto"/>
      <w:sz w:val="16"/>
    </w:rPr>
  </w:style>
  <w:style w:type="paragraph" w:customStyle="1" w:styleId="Legaltext0">
    <w:name w:val="Legal text"/>
    <w:basedOn w:val="AddressBlock"/>
    <w:link w:val="LegaltextChar"/>
    <w:qFormat/>
    <w:rsid w:val="00FF6F2F"/>
    <w:rPr>
      <w:color w:val="808080"/>
      <w:sz w:val="18"/>
    </w:rPr>
  </w:style>
  <w:style w:type="character" w:customStyle="1" w:styleId="AddressBlockChar">
    <w:name w:val="Address Block Char"/>
    <w:basedOn w:val="DefaultParagraphFont"/>
    <w:link w:val="AddressBlock"/>
    <w:rsid w:val="00FF6F2F"/>
    <w:rPr>
      <w:rFonts w:ascii="Arial" w:hAnsi="Arial" w:cs="Arial"/>
      <w:sz w:val="16"/>
    </w:rPr>
  </w:style>
  <w:style w:type="character" w:customStyle="1" w:styleId="LegaltextChar">
    <w:name w:val="Legal text Char"/>
    <w:basedOn w:val="AddressBlockChar"/>
    <w:link w:val="Legaltext0"/>
    <w:rsid w:val="00FF6F2F"/>
    <w:rPr>
      <w:rFonts w:ascii="Arial" w:hAnsi="Arial" w:cs="Arial"/>
      <w:color w:val="808080"/>
      <w:sz w:val="18"/>
    </w:rPr>
  </w:style>
  <w:style w:type="paragraph" w:customStyle="1" w:styleId="Backcovercompanyname0">
    <w:name w:val="Backcover company name"/>
    <w:basedOn w:val="TableLogoText"/>
    <w:link w:val="BackcovercompanynameChar"/>
    <w:qFormat/>
    <w:rsid w:val="00FF6F2F"/>
    <w:rPr>
      <w:rFonts w:ascii="Arial Bold" w:hAnsi="Arial Bold"/>
      <w:b/>
      <w:color w:val="808080"/>
      <w:spacing w:val="40"/>
    </w:rPr>
  </w:style>
  <w:style w:type="character" w:customStyle="1" w:styleId="TableLogoTextChar">
    <w:name w:val="Table Logo Text Char"/>
    <w:basedOn w:val="DefaultParagraphFont"/>
    <w:link w:val="TableLogoText"/>
    <w:rsid w:val="00FF6F2F"/>
    <w:rPr>
      <w:rFonts w:ascii="Arial" w:hAnsi="Arial" w:cs="Arial"/>
      <w:sz w:val="24"/>
    </w:rPr>
  </w:style>
  <w:style w:type="character" w:customStyle="1" w:styleId="BackcovercompanynameChar">
    <w:name w:val="Backcover company name Char"/>
    <w:basedOn w:val="TableLogoTextChar"/>
    <w:link w:val="Backcovercompanyname0"/>
    <w:rsid w:val="00FF6F2F"/>
    <w:rPr>
      <w:rFonts w:ascii="Arial Bold" w:hAnsi="Arial Bold" w:cs="Arial"/>
      <w:b/>
      <w:color w:val="808080"/>
      <w:spacing w:val="40"/>
      <w:sz w:val="24"/>
    </w:rPr>
  </w:style>
  <w:style w:type="paragraph" w:styleId="BodyText">
    <w:name w:val="Body Text"/>
    <w:basedOn w:val="Normal"/>
    <w:link w:val="BodyTextChar"/>
    <w:locked/>
    <w:rsid w:val="00E2162B"/>
    <w:pPr>
      <w:spacing w:after="0" w:line="240" w:lineRule="auto"/>
      <w:jc w:val="both"/>
    </w:pPr>
    <w:rPr>
      <w:color w:val="auto"/>
      <w:sz w:val="24"/>
      <w:lang w:val="en-GB"/>
    </w:rPr>
  </w:style>
  <w:style w:type="character" w:customStyle="1" w:styleId="BodyTextChar">
    <w:name w:val="Body Text Char"/>
    <w:basedOn w:val="DefaultParagraphFont"/>
    <w:link w:val="BodyText"/>
    <w:rsid w:val="00E2162B"/>
    <w:rPr>
      <w:rFonts w:ascii="Arial" w:hAnsi="Arial"/>
      <w:sz w:val="24"/>
      <w:lang w:val="en-GB"/>
    </w:rPr>
  </w:style>
  <w:style w:type="paragraph" w:styleId="BalloonText">
    <w:name w:val="Balloon Text"/>
    <w:basedOn w:val="Normal"/>
    <w:link w:val="BalloonTextChar"/>
    <w:uiPriority w:val="99"/>
    <w:unhideWhenUsed/>
    <w:locked/>
    <w:rsid w:val="00D2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26E80"/>
    <w:rPr>
      <w:rFonts w:ascii="Tahoma" w:hAnsi="Tahoma" w:cs="Tahoma"/>
      <w:color w:val="7C848A"/>
      <w:sz w:val="16"/>
      <w:szCs w:val="16"/>
    </w:rPr>
  </w:style>
  <w:style w:type="paragraph" w:customStyle="1" w:styleId="Quote">
    <w:name w:val="*Quote"/>
    <w:basedOn w:val="DocumentText"/>
    <w:link w:val="QuoteChar"/>
    <w:qFormat/>
    <w:rsid w:val="0034244D"/>
    <w:pPr>
      <w:pBdr>
        <w:top w:val="single" w:sz="4" w:space="4" w:color="00A8C8" w:themeColor="accent2"/>
        <w:left w:val="single" w:sz="4" w:space="4" w:color="00A8C8" w:themeColor="accent2"/>
        <w:bottom w:val="single" w:sz="4" w:space="4" w:color="00A8C8" w:themeColor="accent2"/>
        <w:right w:val="single" w:sz="4" w:space="4" w:color="00A8C8" w:themeColor="accent2"/>
      </w:pBdr>
      <w:spacing w:before="120" w:after="120" w:line="240" w:lineRule="auto"/>
    </w:pPr>
    <w:rPr>
      <w:rFonts w:ascii="Georgia" w:hAnsi="Georgia"/>
      <w:color w:val="00A8C8" w:themeColor="accent2"/>
      <w:sz w:val="28"/>
      <w:lang w:val="en-GB"/>
    </w:rPr>
  </w:style>
  <w:style w:type="character" w:customStyle="1" w:styleId="DocumentTextChar">
    <w:name w:val="*Document Text Char"/>
    <w:basedOn w:val="DefaultParagraphFont"/>
    <w:link w:val="DocumentText"/>
    <w:rsid w:val="005B3136"/>
    <w:rPr>
      <w:rFonts w:ascii="Arial" w:hAnsi="Arial"/>
      <w:color w:val="7C848A"/>
      <w:sz w:val="22"/>
      <w:szCs w:val="22"/>
    </w:rPr>
  </w:style>
  <w:style w:type="character" w:customStyle="1" w:styleId="QuoteChar">
    <w:name w:val="*Quote Char"/>
    <w:basedOn w:val="DocumentTextChar"/>
    <w:link w:val="Quote"/>
    <w:rsid w:val="0034244D"/>
    <w:rPr>
      <w:rFonts w:ascii="Georgia" w:hAnsi="Georgia"/>
      <w:color w:val="00A8C8" w:themeColor="accent2"/>
      <w:sz w:val="28"/>
      <w:szCs w:val="22"/>
      <w:lang w:val="en-GB"/>
    </w:rPr>
  </w:style>
  <w:style w:type="paragraph" w:customStyle="1" w:styleId="Numberlist">
    <w:name w:val="*Number list"/>
    <w:basedOn w:val="ListParagraph"/>
    <w:link w:val="NumberlistChar"/>
    <w:qFormat/>
    <w:rsid w:val="00075523"/>
    <w:pPr>
      <w:numPr>
        <w:numId w:val="10"/>
      </w:numPr>
      <w:spacing w:before="120" w:after="0"/>
      <w:ind w:left="284" w:hanging="284"/>
    </w:pPr>
    <w:rPr>
      <w:lang w:val="en-GB"/>
    </w:rPr>
  </w:style>
  <w:style w:type="paragraph" w:customStyle="1" w:styleId="TableHeader">
    <w:name w:val="Table Header"/>
    <w:link w:val="TableHeaderChar"/>
    <w:qFormat/>
    <w:rsid w:val="000140AE"/>
    <w:rPr>
      <w:rFonts w:ascii="Arial" w:eastAsiaTheme="minorHAnsi" w:hAnsi="Arial"/>
      <w:b/>
      <w:bCs/>
      <w:color w:val="FFFFFF" w:themeColor="background1"/>
      <w:sz w:val="18"/>
    </w:rPr>
  </w:style>
  <w:style w:type="character" w:customStyle="1" w:styleId="ListParagraphChar">
    <w:name w:val="List Paragraph Char"/>
    <w:basedOn w:val="DefaultParagraphFont"/>
    <w:link w:val="ListParagraph"/>
    <w:uiPriority w:val="34"/>
    <w:semiHidden/>
    <w:rsid w:val="00075523"/>
    <w:rPr>
      <w:rFonts w:ascii="Arial" w:hAnsi="Arial"/>
      <w:color w:val="7C848A"/>
      <w:sz w:val="22"/>
    </w:rPr>
  </w:style>
  <w:style w:type="character" w:customStyle="1" w:styleId="NumberlistChar">
    <w:name w:val="*Number list Char"/>
    <w:basedOn w:val="ListParagraphChar"/>
    <w:link w:val="Numberlist"/>
    <w:rsid w:val="00075523"/>
    <w:rPr>
      <w:rFonts w:ascii="Arial" w:hAnsi="Arial"/>
      <w:color w:val="7C848A"/>
      <w:sz w:val="22"/>
      <w:lang w:val="en-GB"/>
    </w:rPr>
  </w:style>
  <w:style w:type="paragraph" w:customStyle="1" w:styleId="TableHeader2">
    <w:name w:val="Table Header 2"/>
    <w:link w:val="TableHeader2Char"/>
    <w:qFormat/>
    <w:rsid w:val="000140AE"/>
    <w:rPr>
      <w:rFonts w:ascii="Arial Bold" w:eastAsiaTheme="minorHAnsi" w:hAnsi="Arial Bold"/>
      <w:b/>
      <w:bCs/>
      <w:caps/>
      <w:color w:val="7C848A" w:themeColor="accent5"/>
      <w:spacing w:val="40"/>
      <w:sz w:val="18"/>
    </w:rPr>
  </w:style>
  <w:style w:type="character" w:customStyle="1" w:styleId="TableHeaderChar">
    <w:name w:val="Table Header Char"/>
    <w:basedOn w:val="DefaultParagraphFont"/>
    <w:link w:val="TableHeader"/>
    <w:rsid w:val="000140AE"/>
    <w:rPr>
      <w:rFonts w:ascii="Arial" w:eastAsiaTheme="minorHAnsi" w:hAnsi="Arial"/>
      <w:b/>
      <w:bCs/>
      <w:color w:val="FFFFFF" w:themeColor="background1"/>
      <w:sz w:val="18"/>
    </w:rPr>
  </w:style>
  <w:style w:type="paragraph" w:customStyle="1" w:styleId="TableText0">
    <w:name w:val="Table Text"/>
    <w:link w:val="TableTextChar"/>
    <w:qFormat/>
    <w:rsid w:val="000140AE"/>
    <w:rPr>
      <w:rFonts w:ascii="Arial" w:eastAsiaTheme="minorHAnsi" w:hAnsi="Arial"/>
      <w:color w:val="7C848A" w:themeColor="accent5"/>
      <w:sz w:val="18"/>
    </w:rPr>
  </w:style>
  <w:style w:type="character" w:customStyle="1" w:styleId="TableHeader2Char">
    <w:name w:val="Table Header 2 Char"/>
    <w:basedOn w:val="DefaultParagraphFont"/>
    <w:link w:val="TableHeader2"/>
    <w:rsid w:val="000140AE"/>
    <w:rPr>
      <w:rFonts w:ascii="Arial Bold" w:eastAsiaTheme="minorHAnsi" w:hAnsi="Arial Bold"/>
      <w:b/>
      <w:bCs/>
      <w:caps/>
      <w:color w:val="7C848A" w:themeColor="accent5"/>
      <w:spacing w:val="40"/>
      <w:sz w:val="18"/>
    </w:rPr>
  </w:style>
  <w:style w:type="paragraph" w:customStyle="1" w:styleId="TableSubTotals">
    <w:name w:val="Table Sub Totals"/>
    <w:link w:val="TableSubTotalsChar"/>
    <w:qFormat/>
    <w:rsid w:val="000140AE"/>
    <w:rPr>
      <w:rFonts w:ascii="Arial" w:eastAsiaTheme="minorHAnsi" w:hAnsi="Arial"/>
      <w:b/>
      <w:bCs/>
      <w:color w:val="7C848A" w:themeColor="accent5"/>
      <w:sz w:val="18"/>
    </w:rPr>
  </w:style>
  <w:style w:type="character" w:customStyle="1" w:styleId="TableTextChar">
    <w:name w:val="Table Text Char"/>
    <w:basedOn w:val="DefaultParagraphFont"/>
    <w:link w:val="TableText0"/>
    <w:rsid w:val="000140AE"/>
    <w:rPr>
      <w:rFonts w:ascii="Arial" w:eastAsiaTheme="minorHAnsi" w:hAnsi="Arial"/>
      <w:color w:val="7C848A" w:themeColor="accent5"/>
      <w:sz w:val="18"/>
    </w:rPr>
  </w:style>
  <w:style w:type="character" w:customStyle="1" w:styleId="TableSubTotalsChar">
    <w:name w:val="Table Sub Totals Char"/>
    <w:basedOn w:val="DefaultParagraphFont"/>
    <w:link w:val="TableSubTotals"/>
    <w:rsid w:val="000140AE"/>
    <w:rPr>
      <w:rFonts w:ascii="Arial" w:eastAsiaTheme="minorHAnsi" w:hAnsi="Arial"/>
      <w:b/>
      <w:bCs/>
      <w:color w:val="7C848A" w:themeColor="accent5"/>
      <w:sz w:val="18"/>
    </w:rPr>
  </w:style>
  <w:style w:type="character" w:styleId="CommentReference">
    <w:name w:val="annotation reference"/>
    <w:basedOn w:val="DefaultParagraphFont"/>
    <w:uiPriority w:val="99"/>
    <w:semiHidden/>
    <w:unhideWhenUsed/>
    <w:locked/>
    <w:rsid w:val="00C535F3"/>
    <w:rPr>
      <w:sz w:val="16"/>
      <w:szCs w:val="16"/>
    </w:rPr>
  </w:style>
  <w:style w:type="paragraph" w:styleId="CommentText">
    <w:name w:val="annotation text"/>
    <w:basedOn w:val="Normal"/>
    <w:link w:val="CommentTextChar"/>
    <w:uiPriority w:val="99"/>
    <w:semiHidden/>
    <w:unhideWhenUsed/>
    <w:locked/>
    <w:rsid w:val="00C535F3"/>
    <w:pPr>
      <w:spacing w:line="240" w:lineRule="auto"/>
    </w:pPr>
    <w:rPr>
      <w:sz w:val="20"/>
    </w:rPr>
  </w:style>
  <w:style w:type="character" w:customStyle="1" w:styleId="CommentTextChar">
    <w:name w:val="Comment Text Char"/>
    <w:basedOn w:val="DefaultParagraphFont"/>
    <w:link w:val="CommentText"/>
    <w:uiPriority w:val="99"/>
    <w:semiHidden/>
    <w:rsid w:val="00C535F3"/>
    <w:rPr>
      <w:rFonts w:ascii="Arial" w:hAnsi="Arial"/>
      <w:color w:val="7C848A"/>
    </w:rPr>
  </w:style>
  <w:style w:type="paragraph" w:styleId="CommentSubject">
    <w:name w:val="annotation subject"/>
    <w:basedOn w:val="CommentText"/>
    <w:next w:val="CommentText"/>
    <w:link w:val="CommentSubjectChar"/>
    <w:semiHidden/>
    <w:unhideWhenUsed/>
    <w:locked/>
    <w:rsid w:val="00C535F3"/>
    <w:rPr>
      <w:b/>
      <w:bCs/>
    </w:rPr>
  </w:style>
  <w:style w:type="character" w:customStyle="1" w:styleId="CommentSubjectChar">
    <w:name w:val="Comment Subject Char"/>
    <w:basedOn w:val="CommentTextChar"/>
    <w:link w:val="CommentSubject"/>
    <w:semiHidden/>
    <w:rsid w:val="00C535F3"/>
    <w:rPr>
      <w:rFonts w:ascii="Arial" w:hAnsi="Arial"/>
      <w:b/>
      <w:bCs/>
      <w:color w:val="7C848A"/>
    </w:rPr>
  </w:style>
  <w:style w:type="paragraph" w:styleId="Revision">
    <w:name w:val="Revision"/>
    <w:hidden/>
    <w:uiPriority w:val="99"/>
    <w:semiHidden/>
    <w:rsid w:val="00BA0C73"/>
    <w:rPr>
      <w:rFonts w:ascii="Arial" w:hAnsi="Arial"/>
      <w:color w:val="7C848A"/>
      <w:sz w:val="22"/>
    </w:rPr>
  </w:style>
  <w:style w:type="paragraph" w:customStyle="1" w:styleId="OutlineNum2">
    <w:name w:val="Outline Num 2"/>
    <w:basedOn w:val="Normal"/>
    <w:link w:val="OutlineNum2Char1"/>
    <w:rsid w:val="007E77EE"/>
    <w:pPr>
      <w:numPr>
        <w:ilvl w:val="1"/>
        <w:numId w:val="16"/>
      </w:numPr>
      <w:spacing w:line="240" w:lineRule="auto"/>
      <w:outlineLvl w:val="1"/>
    </w:pPr>
    <w:rPr>
      <w:color w:val="auto"/>
      <w:lang w:val="en-GB" w:eastAsia="en-GB"/>
    </w:rPr>
  </w:style>
  <w:style w:type="paragraph" w:customStyle="1" w:styleId="OutlineNum3">
    <w:name w:val="Outline Num 3"/>
    <w:basedOn w:val="Normal"/>
    <w:rsid w:val="007E77EE"/>
    <w:pPr>
      <w:numPr>
        <w:ilvl w:val="2"/>
        <w:numId w:val="16"/>
      </w:numPr>
      <w:spacing w:line="240" w:lineRule="auto"/>
      <w:outlineLvl w:val="2"/>
    </w:pPr>
    <w:rPr>
      <w:color w:val="auto"/>
      <w:lang w:val="en-GB" w:eastAsia="en-GB"/>
    </w:rPr>
  </w:style>
  <w:style w:type="paragraph" w:customStyle="1" w:styleId="TableHeadingText">
    <w:name w:val="Table Heading Text"/>
    <w:basedOn w:val="Normal"/>
    <w:link w:val="TableHeadingTextChar"/>
    <w:rsid w:val="007E77EE"/>
    <w:pPr>
      <w:spacing w:line="240" w:lineRule="auto"/>
      <w:ind w:left="187" w:right="187"/>
    </w:pPr>
    <w:rPr>
      <w:rFonts w:ascii="Arial Black" w:hAnsi="Arial Black"/>
      <w:color w:val="auto"/>
      <w:sz w:val="18"/>
      <w:lang w:val="en-GB" w:eastAsia="en-GB"/>
    </w:rPr>
  </w:style>
  <w:style w:type="character" w:customStyle="1" w:styleId="OutlineNum2Char1">
    <w:name w:val="Outline Num 2 Char1"/>
    <w:basedOn w:val="DefaultParagraphFont"/>
    <w:link w:val="OutlineNum2"/>
    <w:rsid w:val="007E77EE"/>
    <w:rPr>
      <w:rFonts w:ascii="Arial" w:hAnsi="Arial"/>
      <w:sz w:val="22"/>
      <w:lang w:val="en-GB" w:eastAsia="en-GB"/>
    </w:rPr>
  </w:style>
  <w:style w:type="paragraph" w:styleId="NormalWeb">
    <w:name w:val="Normal (Web)"/>
    <w:basedOn w:val="Normal"/>
    <w:uiPriority w:val="99"/>
    <w:semiHidden/>
    <w:unhideWhenUsed/>
    <w:locked/>
    <w:rsid w:val="00067FC5"/>
    <w:pPr>
      <w:spacing w:before="100" w:beforeAutospacing="1" w:after="100" w:afterAutospacing="1" w:line="240" w:lineRule="auto"/>
    </w:pPr>
    <w:rPr>
      <w:rFonts w:ascii="Times New Roman" w:eastAsiaTheme="minorEastAsia" w:hAnsi="Times New Roman"/>
      <w:color w:val="auto"/>
      <w:sz w:val="24"/>
      <w:szCs w:val="24"/>
      <w:lang w:val="en-GB" w:eastAsia="en-GB"/>
    </w:rPr>
  </w:style>
  <w:style w:type="paragraph" w:customStyle="1" w:styleId="BodyIndent">
    <w:name w:val="BodyIndent"/>
    <w:basedOn w:val="Normal"/>
    <w:uiPriority w:val="99"/>
    <w:rsid w:val="002B389F"/>
    <w:pPr>
      <w:widowControl w:val="0"/>
      <w:tabs>
        <w:tab w:val="left" w:pos="567"/>
        <w:tab w:val="left" w:pos="786"/>
      </w:tabs>
      <w:suppressAutoHyphens/>
      <w:autoSpaceDE w:val="0"/>
      <w:autoSpaceDN w:val="0"/>
      <w:adjustRightInd w:val="0"/>
      <w:spacing w:before="120" w:after="0" w:line="320" w:lineRule="atLeast"/>
      <w:ind w:left="567"/>
    </w:pPr>
    <w:rPr>
      <w:rFonts w:ascii="FS Lola" w:eastAsiaTheme="minorEastAsia" w:hAnsi="FS Lola" w:cs="FS Lola"/>
      <w:color w:val="000000"/>
      <w:sz w:val="23"/>
      <w:szCs w:val="23"/>
      <w:lang w:eastAsia="en-GB"/>
    </w:rPr>
  </w:style>
  <w:style w:type="paragraph" w:customStyle="1" w:styleId="Para-1stLevel">
    <w:name w:val="Para - 1st Level"/>
    <w:basedOn w:val="Normal"/>
    <w:rsid w:val="00A75F51"/>
    <w:pPr>
      <w:numPr>
        <w:ilvl w:val="1"/>
        <w:numId w:val="1"/>
      </w:numPr>
      <w:tabs>
        <w:tab w:val="left" w:pos="851"/>
      </w:tabs>
      <w:spacing w:line="240" w:lineRule="auto"/>
      <w:ind w:right="176"/>
    </w:pPr>
    <w:rPr>
      <w:rFonts w:cs="Arial"/>
      <w:color w:val="auto"/>
      <w:szCs w:val="22"/>
      <w:lang w:val="en-GB" w:eastAsia="en-GB"/>
    </w:rPr>
  </w:style>
  <w:style w:type="paragraph" w:customStyle="1" w:styleId="Default">
    <w:name w:val="Default"/>
    <w:rsid w:val="00964DA0"/>
    <w:pPr>
      <w:autoSpaceDE w:val="0"/>
      <w:autoSpaceDN w:val="0"/>
      <w:adjustRightInd w:val="0"/>
    </w:pPr>
    <w:rPr>
      <w:rFonts w:ascii="Verdana" w:hAnsi="Verdana" w:cs="Verdana"/>
      <w:color w:val="000000"/>
      <w:sz w:val="24"/>
      <w:szCs w:val="24"/>
      <w:lang w:val="en-GB" w:eastAsia="en-GB"/>
    </w:rPr>
  </w:style>
  <w:style w:type="character" w:styleId="FollowedHyperlink">
    <w:name w:val="FollowedHyperlink"/>
    <w:basedOn w:val="DefaultParagraphFont"/>
    <w:semiHidden/>
    <w:unhideWhenUsed/>
    <w:locked/>
    <w:rsid w:val="000E312A"/>
    <w:rPr>
      <w:color w:val="808080" w:themeColor="followedHyperlink"/>
      <w:u w:val="single"/>
    </w:rPr>
  </w:style>
  <w:style w:type="character" w:customStyle="1" w:styleId="FooterChar">
    <w:name w:val="Footer Char"/>
    <w:basedOn w:val="DefaultParagraphFont"/>
    <w:link w:val="Footer"/>
    <w:uiPriority w:val="99"/>
    <w:rsid w:val="00031C19"/>
    <w:rPr>
      <w:rFonts w:ascii="Arial" w:hAnsi="Arial"/>
      <w:color w:val="7C848A"/>
      <w:spacing w:val="40"/>
      <w:sz w:val="22"/>
    </w:rPr>
  </w:style>
  <w:style w:type="paragraph" w:styleId="ListBullet">
    <w:name w:val="List Bullet"/>
    <w:basedOn w:val="Normal"/>
    <w:uiPriority w:val="99"/>
    <w:locked/>
    <w:rsid w:val="0007006B"/>
    <w:pPr>
      <w:numPr>
        <w:ilvl w:val="4"/>
        <w:numId w:val="18"/>
      </w:numPr>
      <w:spacing w:after="0" w:line="270" w:lineRule="atLeast"/>
      <w:outlineLvl w:val="4"/>
    </w:pPr>
    <w:rPr>
      <w:rFonts w:cs="Arial"/>
      <w:color w:val="auto"/>
      <w:lang w:val="en-GB"/>
    </w:rPr>
  </w:style>
  <w:style w:type="paragraph" w:styleId="ListBullet2">
    <w:name w:val="List Bullet 2"/>
    <w:basedOn w:val="Normal"/>
    <w:uiPriority w:val="99"/>
    <w:locked/>
    <w:rsid w:val="0007006B"/>
    <w:pPr>
      <w:numPr>
        <w:ilvl w:val="5"/>
        <w:numId w:val="18"/>
      </w:numPr>
      <w:spacing w:after="0" w:line="270" w:lineRule="atLeast"/>
      <w:outlineLvl w:val="5"/>
    </w:pPr>
    <w:rPr>
      <w:rFonts w:cs="Arial"/>
      <w:color w:val="auto"/>
      <w:lang w:val="en-GB"/>
    </w:rPr>
  </w:style>
  <w:style w:type="paragraph" w:styleId="ListBullet3">
    <w:name w:val="List Bullet 3"/>
    <w:basedOn w:val="Normal"/>
    <w:uiPriority w:val="99"/>
    <w:locked/>
    <w:rsid w:val="0007006B"/>
    <w:pPr>
      <w:numPr>
        <w:ilvl w:val="6"/>
        <w:numId w:val="18"/>
      </w:numPr>
      <w:spacing w:after="0" w:line="270" w:lineRule="atLeast"/>
      <w:outlineLvl w:val="6"/>
    </w:pPr>
    <w:rPr>
      <w:rFonts w:cs="Arial"/>
      <w:color w:val="auto"/>
      <w:lang w:val="en-GB"/>
    </w:rPr>
  </w:style>
  <w:style w:type="paragraph" w:styleId="ListBullet4">
    <w:name w:val="List Bullet 4"/>
    <w:basedOn w:val="Normal"/>
    <w:uiPriority w:val="99"/>
    <w:locked/>
    <w:rsid w:val="0007006B"/>
    <w:pPr>
      <w:numPr>
        <w:ilvl w:val="7"/>
        <w:numId w:val="18"/>
      </w:numPr>
      <w:spacing w:after="0" w:line="270" w:lineRule="atLeast"/>
      <w:outlineLvl w:val="7"/>
    </w:pPr>
    <w:rPr>
      <w:rFonts w:cs="Arial"/>
      <w:color w:val="auto"/>
      <w:lang w:val="en-GB"/>
    </w:rPr>
  </w:style>
  <w:style w:type="paragraph" w:styleId="TOCHeading">
    <w:name w:val="TOC Heading"/>
    <w:basedOn w:val="Heading1"/>
    <w:next w:val="Normal"/>
    <w:uiPriority w:val="39"/>
    <w:unhideWhenUsed/>
    <w:qFormat/>
    <w:rsid w:val="008A55C7"/>
    <w:pPr>
      <w:keepLines/>
      <w:spacing w:before="480" w:line="276" w:lineRule="auto"/>
      <w:outlineLvl w:val="9"/>
    </w:pPr>
    <w:rPr>
      <w:rFonts w:asciiTheme="majorHAnsi" w:eastAsiaTheme="majorEastAsia" w:hAnsiTheme="majorHAnsi" w:cstheme="majorBidi"/>
      <w:bCs/>
      <w:caps w:val="0"/>
      <w:color w:val="002059" w:themeColor="accent1" w:themeShade="BF"/>
      <w:spacing w:val="0"/>
      <w:sz w:val="28"/>
      <w:lang w:eastAsia="ja-JP"/>
    </w:rPr>
  </w:style>
  <w:style w:type="character" w:customStyle="1" w:styleId="TableHeadingTextChar">
    <w:name w:val="Table Heading Text Char"/>
    <w:basedOn w:val="DefaultParagraphFont"/>
    <w:link w:val="TableHeadingText"/>
    <w:rsid w:val="00574033"/>
    <w:rPr>
      <w:rFonts w:ascii="Arial Black" w:hAnsi="Arial Black"/>
      <w:sz w:val="18"/>
      <w:lang w:val="en-GB" w:eastAsia="en-GB"/>
    </w:rPr>
  </w:style>
  <w:style w:type="table" w:styleId="ColorfulList">
    <w:name w:val="Colorful List"/>
    <w:basedOn w:val="TableNormal"/>
    <w:uiPriority w:val="72"/>
    <w:locked/>
    <w:rsid w:val="00926389"/>
    <w:rPr>
      <w:color w:val="002C77" w:themeColor="text1"/>
    </w:rPr>
    <w:tblPr>
      <w:tblStyleRowBandSize w:val="1"/>
      <w:tblStyleColBandSize w:val="1"/>
    </w:tblPr>
    <w:tcPr>
      <w:shd w:val="clear" w:color="auto" w:fill="D8E6FF" w:themeFill="text1" w:themeFillTint="19"/>
    </w:tcPr>
    <w:tblStylePr w:type="firstRow">
      <w:rPr>
        <w:b/>
        <w:bCs/>
        <w:color w:val="FFFFFF" w:themeColor="background1"/>
      </w:rPr>
      <w:tblPr/>
      <w:tcPr>
        <w:tcBorders>
          <w:bottom w:val="single" w:sz="12" w:space="0" w:color="FFFFFF" w:themeColor="background1"/>
        </w:tcBorders>
        <w:shd w:val="clear" w:color="auto" w:fill="0086A0" w:themeFill="accent2" w:themeFillShade="CC"/>
      </w:tcPr>
    </w:tblStylePr>
    <w:tblStylePr w:type="lastRow">
      <w:rPr>
        <w:b/>
        <w:bCs/>
        <w:color w:val="0086A0" w:themeColor="accent2" w:themeShade="CC"/>
      </w:rPr>
      <w:tblPr/>
      <w:tcPr>
        <w:tcBorders>
          <w:top w:val="single" w:sz="12" w:space="0" w:color="002C7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C1FF" w:themeFill="text1" w:themeFillTint="3F"/>
      </w:tcPr>
    </w:tblStylePr>
    <w:tblStylePr w:type="band1Horz">
      <w:tblPr/>
      <w:tcPr>
        <w:shd w:val="clear" w:color="auto" w:fill="B0CDFF" w:themeFill="text1" w:themeFillTint="33"/>
      </w:tcPr>
    </w:tblStylePr>
  </w:style>
  <w:style w:type="table" w:styleId="LightShading-Accent2">
    <w:name w:val="Light Shading Accent 2"/>
    <w:basedOn w:val="TableNormal"/>
    <w:uiPriority w:val="60"/>
    <w:locked/>
    <w:rsid w:val="00926389"/>
    <w:rPr>
      <w:color w:val="007D95" w:themeColor="accent2" w:themeShade="BF"/>
    </w:rPr>
    <w:tblPr>
      <w:tblStyleRowBandSize w:val="1"/>
      <w:tblStyleColBandSize w:val="1"/>
      <w:tblBorders>
        <w:top w:val="single" w:sz="8" w:space="0" w:color="00A8C8" w:themeColor="accent2"/>
        <w:bottom w:val="single" w:sz="8" w:space="0" w:color="00A8C8" w:themeColor="accent2"/>
      </w:tblBorders>
    </w:tblPr>
    <w:tblStylePr w:type="firstRow">
      <w:pPr>
        <w:spacing w:before="0" w:after="0" w:line="240" w:lineRule="auto"/>
      </w:pPr>
      <w:rPr>
        <w:b/>
        <w:bCs/>
      </w:rPr>
      <w:tblPr/>
      <w:tcPr>
        <w:tcBorders>
          <w:top w:val="single" w:sz="8" w:space="0" w:color="00A8C8" w:themeColor="accent2"/>
          <w:left w:val="nil"/>
          <w:bottom w:val="single" w:sz="8" w:space="0" w:color="00A8C8" w:themeColor="accent2"/>
          <w:right w:val="nil"/>
          <w:insideH w:val="nil"/>
          <w:insideV w:val="nil"/>
        </w:tcBorders>
      </w:tcPr>
    </w:tblStylePr>
    <w:tblStylePr w:type="lastRow">
      <w:pPr>
        <w:spacing w:before="0" w:after="0" w:line="240" w:lineRule="auto"/>
      </w:pPr>
      <w:rPr>
        <w:b/>
        <w:bCs/>
      </w:rPr>
      <w:tblPr/>
      <w:tcPr>
        <w:tcBorders>
          <w:top w:val="single" w:sz="8" w:space="0" w:color="00A8C8" w:themeColor="accent2"/>
          <w:left w:val="nil"/>
          <w:bottom w:val="single" w:sz="8" w:space="0" w:color="00A8C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2FF" w:themeFill="accent2" w:themeFillTint="3F"/>
      </w:tcPr>
    </w:tblStylePr>
    <w:tblStylePr w:type="band1Horz">
      <w:tblPr/>
      <w:tcPr>
        <w:tcBorders>
          <w:left w:val="nil"/>
          <w:right w:val="nil"/>
          <w:insideH w:val="nil"/>
          <w:insideV w:val="nil"/>
        </w:tcBorders>
        <w:shd w:val="clear" w:color="auto" w:fill="B2F2FF" w:themeFill="accent2" w:themeFillTint="3F"/>
      </w:tcPr>
    </w:tblStylePr>
  </w:style>
  <w:style w:type="table" w:styleId="MediumShading1-Accent5">
    <w:name w:val="Medium Shading 1 Accent 5"/>
    <w:basedOn w:val="TableNormal"/>
    <w:uiPriority w:val="63"/>
    <w:locked/>
    <w:rsid w:val="00926389"/>
    <w:tblPr>
      <w:tblStyleRowBandSize w:val="1"/>
      <w:tblStyleColBandSize w:val="1"/>
      <w:tblBorders>
        <w:top w:val="single" w:sz="8" w:space="0" w:color="9CA2A7" w:themeColor="accent5" w:themeTint="BF"/>
        <w:left w:val="single" w:sz="8" w:space="0" w:color="9CA2A7" w:themeColor="accent5" w:themeTint="BF"/>
        <w:bottom w:val="single" w:sz="8" w:space="0" w:color="9CA2A7" w:themeColor="accent5" w:themeTint="BF"/>
        <w:right w:val="single" w:sz="8" w:space="0" w:color="9CA2A7" w:themeColor="accent5" w:themeTint="BF"/>
        <w:insideH w:val="single" w:sz="8" w:space="0" w:color="9CA2A7" w:themeColor="accent5" w:themeTint="BF"/>
      </w:tblBorders>
    </w:tblPr>
    <w:tblStylePr w:type="firstRow">
      <w:pPr>
        <w:spacing w:before="0" w:after="0" w:line="240" w:lineRule="auto"/>
      </w:pPr>
      <w:rPr>
        <w:b/>
        <w:bCs/>
        <w:color w:val="FFFFFF" w:themeColor="background1"/>
      </w:rPr>
      <w:tblPr/>
      <w:tcPr>
        <w:tcBorders>
          <w:top w:val="single" w:sz="8" w:space="0" w:color="9CA2A7" w:themeColor="accent5" w:themeTint="BF"/>
          <w:left w:val="single" w:sz="8" w:space="0" w:color="9CA2A7" w:themeColor="accent5" w:themeTint="BF"/>
          <w:bottom w:val="single" w:sz="8" w:space="0" w:color="9CA2A7" w:themeColor="accent5" w:themeTint="BF"/>
          <w:right w:val="single" w:sz="8" w:space="0" w:color="9CA2A7" w:themeColor="accent5" w:themeTint="BF"/>
          <w:insideH w:val="nil"/>
          <w:insideV w:val="nil"/>
        </w:tcBorders>
        <w:shd w:val="clear" w:color="auto" w:fill="7C848A" w:themeFill="accent5"/>
      </w:tcPr>
    </w:tblStylePr>
    <w:tblStylePr w:type="lastRow">
      <w:pPr>
        <w:spacing w:before="0" w:after="0" w:line="240" w:lineRule="auto"/>
      </w:pPr>
      <w:rPr>
        <w:b/>
        <w:bCs/>
      </w:rPr>
      <w:tblPr/>
      <w:tcPr>
        <w:tcBorders>
          <w:top w:val="double" w:sz="6" w:space="0" w:color="9CA2A7" w:themeColor="accent5" w:themeTint="BF"/>
          <w:left w:val="single" w:sz="8" w:space="0" w:color="9CA2A7" w:themeColor="accent5" w:themeTint="BF"/>
          <w:bottom w:val="single" w:sz="8" w:space="0" w:color="9CA2A7" w:themeColor="accent5" w:themeTint="BF"/>
          <w:right w:val="single" w:sz="8" w:space="0" w:color="9CA2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5" w:themeFillTint="3F"/>
      </w:tcPr>
    </w:tblStylePr>
    <w:tblStylePr w:type="band1Horz">
      <w:tblPr/>
      <w:tcPr>
        <w:tcBorders>
          <w:insideH w:val="nil"/>
          <w:insideV w:val="nil"/>
        </w:tcBorders>
        <w:shd w:val="clear" w:color="auto" w:fill="DEE0E2" w:themeFill="accent5" w:themeFillTint="3F"/>
      </w:tcPr>
    </w:tblStylePr>
    <w:tblStylePr w:type="band2Horz">
      <w:tblPr/>
      <w:tcPr>
        <w:tcBorders>
          <w:insideH w:val="nil"/>
          <w:insideV w:val="nil"/>
        </w:tcBorders>
      </w:tcPr>
    </w:tblStylePr>
  </w:style>
  <w:style w:type="paragraph" w:customStyle="1" w:styleId="Level1">
    <w:name w:val="Level 1"/>
    <w:basedOn w:val="Normal"/>
    <w:rsid w:val="00582AE9"/>
    <w:pPr>
      <w:numPr>
        <w:numId w:val="45"/>
      </w:numPr>
      <w:spacing w:line="240" w:lineRule="auto"/>
      <w:jc w:val="both"/>
      <w:outlineLvl w:val="0"/>
    </w:pPr>
    <w:rPr>
      <w:rFonts w:ascii="Times New Roman" w:hAnsi="Times New Roman"/>
      <w:color w:val="auto"/>
      <w:sz w:val="24"/>
      <w:lang w:val="en-GB" w:eastAsia="en-GB"/>
    </w:rPr>
  </w:style>
  <w:style w:type="paragraph" w:customStyle="1" w:styleId="Level2">
    <w:name w:val="Level 2"/>
    <w:basedOn w:val="Normal"/>
    <w:rsid w:val="00582AE9"/>
    <w:pPr>
      <w:numPr>
        <w:ilvl w:val="1"/>
        <w:numId w:val="45"/>
      </w:numPr>
      <w:spacing w:line="240" w:lineRule="auto"/>
      <w:jc w:val="both"/>
      <w:outlineLvl w:val="1"/>
    </w:pPr>
    <w:rPr>
      <w:color w:val="auto"/>
      <w:sz w:val="24"/>
      <w:szCs w:val="24"/>
      <w:lang w:val="en-GB" w:eastAsia="en-GB"/>
    </w:rPr>
  </w:style>
  <w:style w:type="paragraph" w:customStyle="1" w:styleId="Level3">
    <w:name w:val="Level 3"/>
    <w:basedOn w:val="Normal"/>
    <w:rsid w:val="00582AE9"/>
    <w:pPr>
      <w:numPr>
        <w:ilvl w:val="2"/>
        <w:numId w:val="45"/>
      </w:numPr>
      <w:tabs>
        <w:tab w:val="left" w:pos="1701"/>
      </w:tabs>
      <w:spacing w:line="240" w:lineRule="auto"/>
      <w:jc w:val="both"/>
      <w:outlineLvl w:val="2"/>
    </w:pPr>
    <w:rPr>
      <w:color w:val="auto"/>
      <w:sz w:val="24"/>
      <w:szCs w:val="24"/>
      <w:lang w:val="en-GB" w:eastAsia="en-GB"/>
    </w:rPr>
  </w:style>
  <w:style w:type="paragraph" w:customStyle="1" w:styleId="Level4">
    <w:name w:val="Level 4"/>
    <w:basedOn w:val="Normal"/>
    <w:rsid w:val="00582AE9"/>
    <w:pPr>
      <w:numPr>
        <w:ilvl w:val="3"/>
        <w:numId w:val="45"/>
      </w:numPr>
      <w:spacing w:line="240" w:lineRule="auto"/>
      <w:jc w:val="both"/>
      <w:outlineLvl w:val="3"/>
    </w:pPr>
    <w:rPr>
      <w:color w:val="auto"/>
      <w:sz w:val="24"/>
      <w:szCs w:val="24"/>
      <w:lang w:val="en-GB" w:eastAsia="en-GB"/>
    </w:rPr>
  </w:style>
  <w:style w:type="paragraph" w:customStyle="1" w:styleId="Level5">
    <w:name w:val="Level 5"/>
    <w:basedOn w:val="Normal"/>
    <w:rsid w:val="00582AE9"/>
    <w:pPr>
      <w:numPr>
        <w:ilvl w:val="4"/>
        <w:numId w:val="45"/>
      </w:numPr>
      <w:spacing w:line="240" w:lineRule="auto"/>
      <w:jc w:val="both"/>
      <w:outlineLvl w:val="4"/>
    </w:pPr>
    <w:rPr>
      <w:color w:val="auto"/>
      <w:sz w:val="24"/>
      <w:szCs w:val="24"/>
      <w:lang w:val="en-GB" w:eastAsia="en-GB"/>
    </w:rPr>
  </w:style>
  <w:style w:type="paragraph" w:customStyle="1" w:styleId="Body">
    <w:name w:val="Body"/>
    <w:basedOn w:val="Normal"/>
    <w:rsid w:val="00582AE9"/>
    <w:pPr>
      <w:tabs>
        <w:tab w:val="left" w:pos="851"/>
        <w:tab w:val="left" w:pos="1701"/>
        <w:tab w:val="left" w:pos="2835"/>
        <w:tab w:val="left" w:pos="4253"/>
      </w:tabs>
      <w:spacing w:line="240" w:lineRule="auto"/>
      <w:jc w:val="both"/>
    </w:pPr>
    <w:rPr>
      <w:rFonts w:ascii="Times New Roman" w:hAnsi="Times New Roman"/>
      <w:color w:val="auto"/>
      <w:sz w:val="24"/>
      <w:lang w:val="en-GB" w:eastAsia="en-GB"/>
    </w:rPr>
  </w:style>
  <w:style w:type="character" w:customStyle="1" w:styleId="Level1asHeadingtext">
    <w:name w:val="Level 1 as Heading (text)"/>
    <w:rsid w:val="00582AE9"/>
    <w:rPr>
      <w:b/>
    </w:rPr>
  </w:style>
  <w:style w:type="character" w:customStyle="1" w:styleId="CrossReference">
    <w:name w:val="Cross Reference"/>
    <w:rsid w:val="00582AE9"/>
    <w:rPr>
      <w:rFonts w:ascii="Times New Roman" w:hAnsi="Times New Roman" w:cs="Times New Roman"/>
      <w:b w:val="0"/>
      <w:color w:val="auto"/>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ercer">
      <a:dk1>
        <a:srgbClr val="002C77"/>
      </a:dk1>
      <a:lt1>
        <a:srgbClr val="FFFFFF"/>
      </a:lt1>
      <a:dk2>
        <a:srgbClr val="002C77"/>
      </a:dk2>
      <a:lt2>
        <a:srgbClr val="BFBFBF"/>
      </a:lt2>
      <a:accent1>
        <a:srgbClr val="002C77"/>
      </a:accent1>
      <a:accent2>
        <a:srgbClr val="00A8C8"/>
      </a:accent2>
      <a:accent3>
        <a:srgbClr val="006D9E"/>
      </a:accent3>
      <a:accent4>
        <a:srgbClr val="A8E2EF"/>
      </a:accent4>
      <a:accent5>
        <a:srgbClr val="7C848A"/>
      </a:accent5>
      <a:accent6>
        <a:srgbClr val="5A5A5A"/>
      </a:accent6>
      <a:hlink>
        <a:srgbClr val="4D4D4D"/>
      </a:hlink>
      <a:folHlink>
        <a:srgbClr val="808080"/>
      </a:folHlink>
    </a:clrScheme>
    <a:fontScheme name="*Proposal Theme Fonts">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479F380F92C24CB054D9637C6FF373" ma:contentTypeVersion="0" ma:contentTypeDescription="Create a new document." ma:contentTypeScope="" ma:versionID="4a44ce964edf63f138abf2de9102699f">
  <xsd:schema xmlns:xsd="http://www.w3.org/2001/XMLSchema" xmlns:xs="http://www.w3.org/2001/XMLSchema" xmlns:p="http://schemas.microsoft.com/office/2006/metadata/properties" xmlns:ns2="bdb923d3-2dae-4f59-a8f7-ec97bb8a3e3e" targetNamespace="http://schemas.microsoft.com/office/2006/metadata/properties" ma:root="true" ma:fieldsID="e5650a8657da7c8e153a01494a3cc06d" ns2:_="">
    <xsd:import namespace="bdb923d3-2dae-4f59-a8f7-ec97bb8a3e3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23d3-2dae-4f59-a8f7-ec97bb8a3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db923d3-2dae-4f59-a8f7-ec97bb8a3e3e">UFEEWPU6MDMY-15-64</_dlc_DocId>
    <_dlc_DocIdUrl xmlns="bdb923d3-2dae-4f59-a8f7-ec97bb8a3e3e">
      <Url>http://sites.mercer.com/sites/Branding/_layouts/DocIdRedir.aspx?ID=UFEEWPU6MDMY-15-64</Url>
      <Description>UFEEWPU6MDMY-15-64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7B6D-0FC5-459C-A003-B2766FBF03FA}">
  <ds:schemaRefs>
    <ds:schemaRef ds:uri="http://schemas.microsoft.com/sharepoint/events"/>
  </ds:schemaRefs>
</ds:datastoreItem>
</file>

<file path=customXml/itemProps2.xml><?xml version="1.0" encoding="utf-8"?>
<ds:datastoreItem xmlns:ds="http://schemas.openxmlformats.org/officeDocument/2006/customXml" ds:itemID="{E57F9887-2BDE-4CD6-B340-455675129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923d3-2dae-4f59-a8f7-ec97bb8a3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ACE8E-F907-4BBD-AB49-13FA9246C68E}">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db923d3-2dae-4f59-a8f7-ec97bb8a3e3e"/>
    <ds:schemaRef ds:uri="http://www.w3.org/XML/1998/namespace"/>
  </ds:schemaRefs>
</ds:datastoreItem>
</file>

<file path=customXml/itemProps4.xml><?xml version="1.0" encoding="utf-8"?>
<ds:datastoreItem xmlns:ds="http://schemas.openxmlformats.org/officeDocument/2006/customXml" ds:itemID="{1460D222-A4B2-40F0-A3E5-71119A58373F}">
  <ds:schemaRefs>
    <ds:schemaRef ds:uri="http://schemas.microsoft.com/sharepoint/v3/contenttype/forms"/>
  </ds:schemaRefs>
</ds:datastoreItem>
</file>

<file path=customXml/itemProps5.xml><?xml version="1.0" encoding="utf-8"?>
<ds:datastoreItem xmlns:ds="http://schemas.openxmlformats.org/officeDocument/2006/customXml" ds:itemID="{D147277B-9795-4D32-B669-E466381B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19</Pages>
  <Words>6447</Words>
  <Characters>36754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Forrester, Mark (Res, Financial Services)</dc:creator>
  <cp:lastModifiedBy>Neville, Mike</cp:lastModifiedBy>
  <cp:revision>31</cp:revision>
  <cp:lastPrinted>2017-07-25T14:01:00Z</cp:lastPrinted>
  <dcterms:created xsi:type="dcterms:W3CDTF">2017-07-26T07:12:00Z</dcterms:created>
  <dcterms:modified xsi:type="dcterms:W3CDTF">2017-09-06T09:57:00Z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0x0101008B479F380F92C24CB054D9637C6FF373</vt:lpwstr>
  </property>
  <property fmtid="{D5CDD505-2E9C-101B-9397-08002B2CF9AE}" pid="3" name="MPR_DocID">
    <vt:lpwstr>db452201fee8435a92392b56454371dd</vt:lpwstr>
  </property>
  <property fmtid="{D5CDD505-2E9C-101B-9397-08002B2CF9AE}" pid="4" name="_dlc_DocIdItemGuid">
    <vt:lpwstr>88f66c6d-e00b-422c-89a3-a4347ee33888</vt:lpwstr>
  </property>
  <property fmtid="{D5CDD505-2E9C-101B-9397-08002B2CF9AE}" pid="5" name="_NewReviewCycle">
    <vt:lpwstr/>
  </property>
</Properties>
</file>